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3"/>
          <w:szCs w:val="13"/>
          <w:b w:val="1"/>
          <w:bCs w:val="1"/>
          <w:color w:val="auto"/>
        </w:rPr>
        <w:t>FORM 6-K</w:t>
      </w:r>
    </w:p>
    <w:p>
      <w:pPr>
        <w:spacing w:after="0" w:line="15"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SECURITIES AND EXCHANGE COMMISSION</w:t>
      </w:r>
    </w:p>
    <w:p>
      <w:pPr>
        <w:spacing w:after="0" w:line="19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Washington, D.C. 20549</w:t>
      </w:r>
    </w:p>
    <w:p>
      <w:pPr>
        <w:spacing w:after="0" w:line="174"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Report of Foreign Private Issuer</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Pursuant to Rule 13a-16 under</w:t>
      </w:r>
    </w:p>
    <w:p>
      <w:pPr>
        <w:jc w:val="center"/>
        <w:ind w:right="-259"/>
        <w:spacing w:after="0"/>
        <w:rPr>
          <w:sz w:val="20"/>
          <w:szCs w:val="20"/>
          <w:color w:val="auto"/>
        </w:rPr>
      </w:pPr>
      <w:r>
        <w:rPr>
          <w:rFonts w:ascii="Arial" w:cs="Arial" w:eastAsia="Arial" w:hAnsi="Arial"/>
          <w:sz w:val="13"/>
          <w:szCs w:val="13"/>
          <w:b w:val="1"/>
          <w:bCs w:val="1"/>
          <w:color w:val="auto"/>
        </w:rPr>
        <w:t>the Securities Exchange Act of 1934</w:t>
      </w:r>
    </w:p>
    <w:p>
      <w:pPr>
        <w:spacing w:after="0" w:line="38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For</w:t>
      </w:r>
    </w:p>
    <w:p>
      <w:pPr>
        <w:jc w:val="center"/>
        <w:ind w:right="-259"/>
        <w:spacing w:after="0"/>
        <w:rPr>
          <w:sz w:val="20"/>
          <w:szCs w:val="20"/>
          <w:color w:val="auto"/>
        </w:rPr>
      </w:pPr>
      <w:r>
        <w:rPr>
          <w:rFonts w:ascii="Arial" w:cs="Arial" w:eastAsia="Arial" w:hAnsi="Arial"/>
          <w:sz w:val="13"/>
          <w:szCs w:val="13"/>
          <w:color w:val="auto"/>
        </w:rPr>
        <w:t>the month ended June, 2021</w:t>
      </w:r>
    </w:p>
    <w:p>
      <w:pPr>
        <w:spacing w:after="0" w:line="174"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ICON plc</w:t>
      </w:r>
    </w:p>
    <w:p>
      <w:pPr>
        <w:spacing w:after="0" w:line="15"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(Registrant's name)</w:t>
      </w:r>
    </w:p>
    <w:p>
      <w:pPr>
        <w:spacing w:after="0" w:line="38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333-08704</w:t>
      </w:r>
    </w:p>
    <w:p>
      <w:pPr>
        <w:jc w:val="center"/>
        <w:ind w:right="-259"/>
        <w:spacing w:after="0"/>
        <w:rPr>
          <w:sz w:val="20"/>
          <w:szCs w:val="20"/>
          <w:color w:val="auto"/>
        </w:rPr>
      </w:pPr>
      <w:r>
        <w:rPr>
          <w:rFonts w:ascii="Arial" w:cs="Arial" w:eastAsia="Arial" w:hAnsi="Arial"/>
          <w:sz w:val="13"/>
          <w:szCs w:val="13"/>
          <w:color w:val="auto"/>
        </w:rPr>
        <w:t>(Commission file number)</w:t>
      </w:r>
    </w:p>
    <w:p>
      <w:pPr>
        <w:spacing w:after="0" w:line="38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South County Business Park, Leopardstown, Dublin 18, Ireland</w:t>
      </w:r>
    </w:p>
    <w:p>
      <w:pPr>
        <w:jc w:val="center"/>
        <w:ind w:right="-259"/>
        <w:spacing w:after="0"/>
        <w:rPr>
          <w:sz w:val="20"/>
          <w:szCs w:val="20"/>
          <w:color w:val="auto"/>
        </w:rPr>
      </w:pPr>
      <w:r>
        <w:rPr>
          <w:rFonts w:ascii="Arial" w:cs="Arial" w:eastAsia="Arial" w:hAnsi="Arial"/>
          <w:sz w:val="13"/>
          <w:szCs w:val="13"/>
          <w:color w:val="auto"/>
        </w:rPr>
        <w:t>(Address of principal executive offices)</w:t>
      </w:r>
    </w:p>
    <w:p>
      <w:pPr>
        <w:spacing w:after="0" w:line="38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Brendan Brennan, CFO</w:t>
      </w:r>
    </w:p>
    <w:p>
      <w:pPr>
        <w:jc w:val="center"/>
        <w:ind w:right="-259"/>
        <w:spacing w:after="0"/>
        <w:rPr>
          <w:sz w:val="20"/>
          <w:szCs w:val="20"/>
          <w:color w:val="auto"/>
        </w:rPr>
      </w:pPr>
      <w:r>
        <w:rPr>
          <w:rFonts w:ascii="Arial" w:cs="Arial" w:eastAsia="Arial" w:hAnsi="Arial"/>
          <w:sz w:val="13"/>
          <w:szCs w:val="13"/>
          <w:color w:val="auto"/>
        </w:rPr>
        <w:t>South County Business Park, Leopardstown, Dublin 18, Ireland</w:t>
      </w:r>
    </w:p>
    <w:p>
      <w:pPr>
        <w:jc w:val="center"/>
        <w:ind w:right="-259"/>
        <w:spacing w:after="0"/>
        <w:rPr>
          <w:sz w:val="20"/>
          <w:szCs w:val="20"/>
          <w:color w:val="auto"/>
        </w:rPr>
      </w:pPr>
      <w:r>
        <w:rPr>
          <w:rFonts w:ascii="Arial" w:cs="Arial" w:eastAsia="Arial" w:hAnsi="Arial"/>
          <w:sz w:val="13"/>
          <w:szCs w:val="13"/>
          <w:color w:val="auto"/>
        </w:rPr>
        <w:t>Brendan.Brennan@iconplc.com</w:t>
      </w:r>
    </w:p>
    <w:p>
      <w:pPr>
        <w:jc w:val="center"/>
        <w:ind w:right="-259"/>
        <w:spacing w:after="0"/>
        <w:rPr>
          <w:sz w:val="20"/>
          <w:szCs w:val="20"/>
          <w:color w:val="auto"/>
        </w:rPr>
      </w:pPr>
      <w:r>
        <w:rPr>
          <w:rFonts w:ascii="Arial" w:cs="Arial" w:eastAsia="Arial" w:hAnsi="Arial"/>
          <w:sz w:val="13"/>
          <w:szCs w:val="13"/>
          <w:color w:val="auto"/>
        </w:rPr>
        <w:t>+353-1-291-2000</w:t>
      </w:r>
    </w:p>
    <w:p>
      <w:pPr>
        <w:jc w:val="center"/>
        <w:ind w:right="-279"/>
        <w:spacing w:after="0"/>
        <w:rPr>
          <w:sz w:val="20"/>
          <w:szCs w:val="20"/>
          <w:color w:val="auto"/>
        </w:rPr>
      </w:pPr>
      <w:r>
        <w:rPr>
          <w:rFonts w:ascii="Arial" w:cs="Arial" w:eastAsia="Arial" w:hAnsi="Arial"/>
          <w:sz w:val="13"/>
          <w:szCs w:val="13"/>
          <w:color w:val="auto"/>
        </w:rPr>
        <w:t>(Name, telephone number, email and/or facsimile number and address of Company contact person)</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files or will file annual reports under cover Form 20-F or Form 40-F.</w:t>
      </w:r>
    </w:p>
    <w:p>
      <w:pPr>
        <w:spacing w:after="0" w:line="4"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3"/>
          <w:szCs w:val="13"/>
          <w:color w:val="auto"/>
        </w:rPr>
        <w:t>Form 20-F___</w:t>
      </w:r>
      <w:r>
        <w:rPr>
          <w:rFonts w:ascii="Arial" w:cs="Arial" w:eastAsia="Arial" w:hAnsi="Arial"/>
          <w:sz w:val="13"/>
          <w:szCs w:val="13"/>
          <w:b w:val="1"/>
          <w:bCs w:val="1"/>
          <w:color w:val="auto"/>
        </w:rPr>
        <w:t>X</w:t>
      </w:r>
      <w:r>
        <w:rPr>
          <w:rFonts w:ascii="Arial" w:cs="Arial" w:eastAsia="Arial" w:hAnsi="Arial"/>
          <w:sz w:val="13"/>
          <w:szCs w:val="13"/>
          <w:color w:val="auto"/>
        </w:rPr>
        <w:t>___</w:t>
      </w:r>
      <w:r>
        <w:rPr>
          <w:sz w:val="20"/>
          <w:szCs w:val="20"/>
          <w:color w:val="auto"/>
        </w:rPr>
        <w:tab/>
      </w:r>
      <w:r>
        <w:rPr>
          <w:rFonts w:ascii="Arial" w:cs="Arial" w:eastAsia="Arial" w:hAnsi="Arial"/>
          <w:sz w:val="12"/>
          <w:szCs w:val="12"/>
          <w:color w:val="auto"/>
        </w:rPr>
        <w:t>Form 40-F______</w:t>
      </w:r>
    </w:p>
    <w:p>
      <w:pPr>
        <w:spacing w:after="0" w:line="23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submitting the Form 6-K in paper as permitted by Regulation S-T Rule 101(b)(1):</w:t>
      </w:r>
    </w:p>
    <w:p>
      <w:pPr>
        <w:spacing w:after="0" w:line="4"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3"/>
          <w:szCs w:val="13"/>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23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submitting the Form 6-K in paper as permitted by Regulation S-T Rule 101(b)(7):</w:t>
      </w:r>
    </w:p>
    <w:p>
      <w:pPr>
        <w:spacing w:after="0" w:line="4"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3"/>
          <w:szCs w:val="13"/>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238" w:lineRule="exact"/>
        <w:rPr>
          <w:sz w:val="24"/>
          <w:szCs w:val="24"/>
          <w:color w:val="auto"/>
        </w:rPr>
      </w:pPr>
    </w:p>
    <w:p>
      <w:pPr>
        <w:spacing w:after="0" w:line="225" w:lineRule="auto"/>
        <w:rPr>
          <w:sz w:val="20"/>
          <w:szCs w:val="20"/>
          <w:color w:val="auto"/>
        </w:rPr>
      </w:pPr>
      <w:r>
        <w:rPr>
          <w:rFonts w:ascii="Arial" w:cs="Arial" w:eastAsia="Arial" w:hAnsi="Arial"/>
          <w:sz w:val="13"/>
          <w:szCs w:val="13"/>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3"/>
          <w:szCs w:val="13"/>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If "Yes" is marked, indicate below the file number assigned to the registrant in connection with Rule 12g3-2(b):82 </w:t>
      </w:r>
      <w:r>
        <w:rPr>
          <w:rFonts w:ascii="Arial" w:cs="Arial" w:eastAsia="Arial" w:hAnsi="Arial"/>
          <w:sz w:val="13"/>
          <w:szCs w:val="13"/>
          <w:b w:val="1"/>
          <w:bCs w:val="1"/>
          <w:color w:val="auto"/>
        </w:rPr>
        <w:t>N/A</w:t>
      </w:r>
    </w:p>
    <w:p>
      <w:pPr>
        <w:sectPr>
          <w:pgSz w:w="11900" w:h="16838" w:orient="portrait"/>
          <w:cols w:equalWidth="0" w:num="1">
            <w:col w:w="11000"/>
          </w:cols>
          <w:pgMar w:left="320" w:top="815" w:right="579" w:bottom="1440" w:gutter="0" w:footer="0" w:header="0"/>
        </w:sectPr>
      </w:pPr>
    </w:p>
    <w:bookmarkStart w:id="1" w:name="page2"/>
    <w:bookmarkEnd w:id="1"/>
    <w:p>
      <w:pPr>
        <w:ind w:left="5040"/>
        <w:spacing w:after="0"/>
        <w:rPr>
          <w:sz w:val="20"/>
          <w:szCs w:val="20"/>
          <w:color w:val="auto"/>
        </w:rPr>
      </w:pPr>
      <w:r>
        <w:rPr>
          <w:rFonts w:ascii="Arial" w:cs="Arial" w:eastAsia="Arial" w:hAnsi="Arial"/>
          <w:sz w:val="17"/>
          <w:szCs w:val="17"/>
          <w:b w:val="1"/>
          <w:bCs w:val="1"/>
          <w:u w:val="single" w:color="auto"/>
          <w:color w:val="auto"/>
        </w:rPr>
        <w:t>EXHIBIT LIST</w:t>
      </w:r>
    </w:p>
    <w:p>
      <w:pPr>
        <w:spacing w:after="0" w:line="42"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u w:val="single" w:color="auto"/>
          <w:color w:val="auto"/>
        </w:rPr>
        <w:t>Exhibit</w:t>
      </w:r>
      <w:r>
        <w:rPr>
          <w:sz w:val="20"/>
          <w:szCs w:val="20"/>
          <w:color w:val="auto"/>
        </w:rPr>
        <w:tab/>
      </w:r>
      <w:r>
        <w:rPr>
          <w:rFonts w:ascii="Arial" w:cs="Arial" w:eastAsia="Arial" w:hAnsi="Arial"/>
          <w:sz w:val="17"/>
          <w:szCs w:val="17"/>
          <w:u w:val="single" w:color="auto"/>
          <w:color w:val="auto"/>
        </w:rPr>
        <w:t>Description</w:t>
      </w:r>
    </w:p>
    <w:p>
      <w:pPr>
        <w:spacing w:after="0" w:line="218" w:lineRule="exact"/>
        <w:rPr>
          <w:sz w:val="20"/>
          <w:szCs w:val="20"/>
          <w:color w:val="auto"/>
        </w:rPr>
      </w:pPr>
    </w:p>
    <w:p>
      <w:pPr>
        <w:ind w:left="1040"/>
        <w:spacing w:after="0"/>
        <w:tabs>
          <w:tab w:leader="none" w:pos="1460" w:val="left"/>
        </w:tabs>
        <w:rPr>
          <w:rFonts w:ascii="Arial" w:cs="Arial" w:eastAsia="Arial" w:hAnsi="Arial"/>
          <w:sz w:val="15"/>
          <w:szCs w:val="15"/>
          <w:u w:val="single" w:color="auto"/>
          <w:color w:val="0000FF"/>
        </w:rPr>
      </w:pPr>
      <w:r>
        <w:rPr>
          <w:rFonts w:ascii="Arial" w:cs="Arial" w:eastAsia="Arial" w:hAnsi="Arial"/>
          <w:sz w:val="17"/>
          <w:szCs w:val="17"/>
          <w:color w:val="0000FF"/>
        </w:rPr>
        <w:t>99.1</w:t>
      </w:r>
      <w:r>
        <w:rPr>
          <w:sz w:val="20"/>
          <w:szCs w:val="20"/>
          <w:color w:val="auto"/>
        </w:rPr>
        <w:tab/>
      </w:r>
      <w:hyperlink w:anchor="page4">
        <w:r>
          <w:rPr>
            <w:rFonts w:ascii="Arial" w:cs="Arial" w:eastAsia="Arial" w:hAnsi="Arial"/>
            <w:sz w:val="15"/>
            <w:szCs w:val="15"/>
            <w:u w:val="single" w:color="auto"/>
            <w:color w:val="0000FF"/>
          </w:rPr>
          <w:t>ICON plc Shareholders Letter and Notice of Annual General Meeting</w:t>
        </w:r>
      </w:hyperlink>
    </w:p>
    <w:p>
      <w:pPr>
        <w:spacing w:after="0" w:line="80" w:lineRule="exact"/>
        <w:rPr>
          <w:sz w:val="20"/>
          <w:szCs w:val="20"/>
          <w:color w:val="auto"/>
        </w:rPr>
      </w:pPr>
    </w:p>
    <w:p>
      <w:pPr>
        <w:ind w:left="1040"/>
        <w:spacing w:after="0"/>
        <w:tabs>
          <w:tab w:leader="none" w:pos="1460" w:val="left"/>
        </w:tabs>
        <w:rPr>
          <w:rFonts w:ascii="Arial" w:cs="Arial" w:eastAsia="Arial" w:hAnsi="Arial"/>
          <w:sz w:val="15"/>
          <w:szCs w:val="15"/>
          <w:u w:val="single" w:color="auto"/>
          <w:color w:val="0000FF"/>
        </w:rPr>
      </w:pPr>
      <w:r>
        <w:rPr>
          <w:rFonts w:ascii="Arial" w:cs="Arial" w:eastAsia="Arial" w:hAnsi="Arial"/>
          <w:sz w:val="17"/>
          <w:szCs w:val="17"/>
          <w:color w:val="0000FF"/>
        </w:rPr>
        <w:t>99.2</w:t>
      </w:r>
      <w:r>
        <w:rPr>
          <w:sz w:val="20"/>
          <w:szCs w:val="20"/>
          <w:color w:val="auto"/>
        </w:rPr>
        <w:tab/>
      </w:r>
      <w:hyperlink w:anchor="page17">
        <w:r>
          <w:rPr>
            <w:rFonts w:ascii="Arial" w:cs="Arial" w:eastAsia="Arial" w:hAnsi="Arial"/>
            <w:sz w:val="15"/>
            <w:szCs w:val="15"/>
            <w:u w:val="single" w:color="auto"/>
            <w:color w:val="0000FF"/>
          </w:rPr>
          <w:t>Proxy Card</w:t>
        </w:r>
      </w:hyperlink>
    </w:p>
    <w:p>
      <w:pPr>
        <w:spacing w:after="0" w:line="80" w:lineRule="exact"/>
        <w:rPr>
          <w:sz w:val="20"/>
          <w:szCs w:val="20"/>
          <w:color w:val="auto"/>
        </w:rPr>
      </w:pPr>
    </w:p>
    <w:p>
      <w:pPr>
        <w:ind w:left="1040"/>
        <w:spacing w:after="0"/>
        <w:tabs>
          <w:tab w:leader="none" w:pos="1460" w:val="left"/>
        </w:tabs>
        <w:rPr>
          <w:rFonts w:ascii="Arial" w:cs="Arial" w:eastAsia="Arial" w:hAnsi="Arial"/>
          <w:sz w:val="15"/>
          <w:szCs w:val="15"/>
          <w:u w:val="single" w:color="auto"/>
          <w:color w:val="0000FF"/>
        </w:rPr>
      </w:pPr>
      <w:hyperlink w:anchor="page20">
        <w:r>
          <w:rPr>
            <w:rFonts w:ascii="Arial" w:cs="Arial" w:eastAsia="Arial" w:hAnsi="Arial"/>
            <w:sz w:val="17"/>
            <w:szCs w:val="17"/>
            <w:u w:val="single" w:color="auto"/>
            <w:color w:val="0000FF"/>
          </w:rPr>
          <w:t>99.3</w:t>
        </w:r>
      </w:hyperlink>
      <w:r>
        <w:rPr>
          <w:rFonts w:ascii="Arial" w:cs="Arial" w:eastAsia="Arial" w:hAnsi="Arial"/>
          <w:sz w:val="17"/>
          <w:szCs w:val="17"/>
          <w:u w:val="single" w:color="auto"/>
          <w:color w:val="0000FF"/>
        </w:rPr>
        <w:tab/>
      </w:r>
      <w:hyperlink w:anchor="page20">
        <w:r>
          <w:rPr>
            <w:rFonts w:ascii="Arial" w:cs="Arial" w:eastAsia="Arial" w:hAnsi="Arial"/>
            <w:sz w:val="15"/>
            <w:szCs w:val="15"/>
            <w:u w:val="single" w:color="auto"/>
            <w:color w:val="0000FF"/>
          </w:rPr>
          <w:t>ICON plc Annual Report</w:t>
        </w:r>
      </w:hyperlink>
    </w:p>
    <w:p>
      <w:pPr>
        <w:sectPr>
          <w:pgSz w:w="11900" w:h="16838" w:orient="portrait"/>
          <w:cols w:equalWidth="0" w:num="1">
            <w:col w:w="10139"/>
          </w:cols>
          <w:pgMar w:left="320" w:top="925" w:right="1440"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SIGNATURES</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020" w:type="dxa"/>
            <w:vAlign w:val="bottom"/>
            <w:gridSpan w:val="3"/>
          </w:tcPr>
          <w:p>
            <w:pPr>
              <w:ind w:left="3780"/>
              <w:spacing w:after="0"/>
              <w:rPr>
                <w:sz w:val="20"/>
                <w:szCs w:val="20"/>
                <w:color w:val="auto"/>
              </w:rPr>
            </w:pPr>
            <w:r>
              <w:rPr>
                <w:rFonts w:ascii="Arial" w:cs="Arial" w:eastAsia="Arial" w:hAnsi="Arial"/>
                <w:sz w:val="13"/>
                <w:szCs w:val="13"/>
                <w:b w:val="1"/>
                <w:bCs w:val="1"/>
                <w:color w:val="auto"/>
              </w:rPr>
              <w:t>ICON plc</w:t>
            </w:r>
          </w:p>
        </w:tc>
      </w:tr>
      <w:tr>
        <w:trPr>
          <w:trHeight w:val="546"/>
        </w:trPr>
        <w:tc>
          <w:tcPr>
            <w:tcW w:w="5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020" w:type="dxa"/>
            <w:vAlign w:val="bottom"/>
            <w:gridSpan w:val="3"/>
          </w:tcPr>
          <w:p>
            <w:pPr>
              <w:ind w:left="3780"/>
              <w:spacing w:after="0"/>
              <w:rPr>
                <w:sz w:val="20"/>
                <w:szCs w:val="20"/>
                <w:color w:val="auto"/>
              </w:rPr>
            </w:pPr>
            <w:r>
              <w:rPr>
                <w:rFonts w:ascii="Arial" w:cs="Arial" w:eastAsia="Arial" w:hAnsi="Arial"/>
                <w:sz w:val="13"/>
                <w:szCs w:val="13"/>
                <w:color w:val="auto"/>
              </w:rPr>
              <w:t>/s/Brendan Brennan</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8"/>
        </w:trPr>
        <w:tc>
          <w:tcPr>
            <w:tcW w:w="500" w:type="dxa"/>
            <w:vAlign w:val="bottom"/>
          </w:tcPr>
          <w:p>
            <w:pPr>
              <w:ind w:left="20"/>
              <w:spacing w:after="0" w:line="148" w:lineRule="exact"/>
              <w:rPr>
                <w:sz w:val="20"/>
                <w:szCs w:val="20"/>
                <w:color w:val="auto"/>
              </w:rPr>
            </w:pPr>
            <w:r>
              <w:rPr>
                <w:rFonts w:ascii="Arial" w:cs="Arial" w:eastAsia="Arial" w:hAnsi="Arial"/>
                <w:sz w:val="13"/>
                <w:szCs w:val="13"/>
                <w:color w:val="auto"/>
              </w:rPr>
              <w:t>Date:</w:t>
            </w:r>
          </w:p>
        </w:tc>
        <w:tc>
          <w:tcPr>
            <w:tcW w:w="3660" w:type="dxa"/>
            <w:vAlign w:val="bottom"/>
          </w:tcPr>
          <w:p>
            <w:pPr>
              <w:ind w:left="180"/>
              <w:spacing w:after="0" w:line="148" w:lineRule="exact"/>
              <w:rPr>
                <w:sz w:val="20"/>
                <w:szCs w:val="20"/>
                <w:color w:val="auto"/>
              </w:rPr>
            </w:pPr>
            <w:r>
              <w:rPr>
                <w:rFonts w:ascii="Arial" w:cs="Arial" w:eastAsia="Arial" w:hAnsi="Arial"/>
                <w:sz w:val="13"/>
                <w:szCs w:val="13"/>
                <w:color w:val="auto"/>
              </w:rPr>
              <w:t>June 16, 2021</w:t>
            </w:r>
          </w:p>
        </w:tc>
        <w:tc>
          <w:tcPr>
            <w:tcW w:w="5020" w:type="dxa"/>
            <w:vAlign w:val="bottom"/>
            <w:gridSpan w:val="3"/>
          </w:tcPr>
          <w:p>
            <w:pPr>
              <w:ind w:left="3780"/>
              <w:spacing w:after="0" w:line="148" w:lineRule="exact"/>
              <w:rPr>
                <w:sz w:val="20"/>
                <w:szCs w:val="20"/>
                <w:color w:val="auto"/>
              </w:rPr>
            </w:pPr>
            <w:r>
              <w:rPr>
                <w:rFonts w:ascii="Arial" w:cs="Arial" w:eastAsia="Arial" w:hAnsi="Arial"/>
                <w:sz w:val="13"/>
                <w:szCs w:val="13"/>
                <w:color w:val="auto"/>
              </w:rPr>
              <w:t>Brendan Brennan</w:t>
            </w:r>
          </w:p>
        </w:tc>
      </w:tr>
      <w:tr>
        <w:trPr>
          <w:trHeight w:val="170"/>
        </w:trPr>
        <w:tc>
          <w:tcPr>
            <w:tcW w:w="5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020" w:type="dxa"/>
            <w:vAlign w:val="bottom"/>
            <w:gridSpan w:val="3"/>
          </w:tcPr>
          <w:p>
            <w:pPr>
              <w:ind w:left="3780"/>
              <w:spacing w:after="0"/>
              <w:rPr>
                <w:sz w:val="20"/>
                <w:szCs w:val="20"/>
                <w:color w:val="auto"/>
              </w:rPr>
            </w:pPr>
            <w:r>
              <w:rPr>
                <w:rFonts w:ascii="Arial" w:cs="Arial" w:eastAsia="Arial" w:hAnsi="Arial"/>
                <w:sz w:val="13"/>
                <w:szCs w:val="13"/>
                <w:color w:val="auto"/>
                <w:w w:val="95"/>
              </w:rPr>
              <w:t>Chief Financial Officer</w:t>
            </w:r>
          </w:p>
        </w:tc>
      </w:tr>
    </w:tbl>
    <w:p>
      <w:pPr>
        <w:sectPr>
          <w:pgSz w:w="11900" w:h="16838" w:orient="portrait"/>
          <w:cols w:equalWidth="0" w:num="1">
            <w:col w:w="10520"/>
          </w:cols>
          <w:pgMar w:left="300" w:top="1101" w:right="107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General Meeting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on 20 July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2212975</wp:posOffset>
            </wp:positionH>
            <wp:positionV relativeFrom="paragraph">
              <wp:posOffset>725805</wp:posOffset>
            </wp:positionV>
            <wp:extent cx="2748915" cy="748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8915"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ICON plc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THIS DOCUMENT IS IMPORTANT AND REQUIRES YOUR IMMEDIATE ATTENTION.</w:t>
      </w:r>
    </w:p>
    <w:p>
      <w:pPr>
        <w:spacing w:after="0" w:line="193"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2017 or the Investment Intermediaries Act, 1995</w:t>
      </w:r>
      <w:r>
        <w:rPr>
          <w:rFonts w:ascii="Arial" w:cs="Arial" w:eastAsia="Arial" w:hAnsi="Arial"/>
          <w:sz w:val="14"/>
          <w:szCs w:val="14"/>
          <w:b w:val="1"/>
          <w:bCs w:val="1"/>
          <w:color w:val="auto"/>
        </w:rPr>
        <w:t>.</w:t>
      </w:r>
    </w:p>
    <w:p>
      <w:pPr>
        <w:spacing w:after="0" w:line="121"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ectPr>
          <w:pgSz w:w="11900" w:h="16838" w:orient="portrait"/>
          <w:cols w:equalWidth="0" w:num="1">
            <w:col w:w="11280"/>
          </w:cols>
          <w:pgMar w:left="300" w:top="133"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color w:val="auto"/>
        </w:rPr>
        <w:t>16 June, 2021</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All ICON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ANNUAL GENERAL MEETING</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Annual General Meeting of ICON plc will be held at 12.00pm (Dublin time) on 20 July 2021 at ICON’s global headquarters in South County Business Park, Leopardstown, Dublin 18, Ireland (the </w:t>
      </w:r>
      <w:r>
        <w:rPr>
          <w:rFonts w:ascii="Arial" w:cs="Arial" w:eastAsia="Arial" w:hAnsi="Arial"/>
          <w:sz w:val="16"/>
          <w:szCs w:val="16"/>
          <w:b w:val="1"/>
          <w:bCs w:val="1"/>
          <w:color w:val="auto"/>
        </w:rPr>
        <w:t>AGM</w:t>
      </w:r>
      <w:r>
        <w:rPr>
          <w:rFonts w:ascii="Arial" w:cs="Arial" w:eastAsia="Arial" w:hAnsi="Arial"/>
          <w:sz w:val="16"/>
          <w:szCs w:val="16"/>
          <w:color w:val="auto"/>
        </w:rPr>
        <w:t>).</w:t>
      </w:r>
    </w:p>
    <w:p>
      <w:pPr>
        <w:spacing w:after="0" w:line="1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This letter provides an update on the progress of the previously announced PRA Health Sciences, Inc. acquisition and outlines the background to and summarises the resolutions to be proposed at the AGM. Please refer to the form of proxy for the AGM (which is separately enclosed) and the notes on pages 10 to 13 for details on how to vote your shares and return your form of proxy. Your attention is also drawn to the notice of the AGM on pages 6 to 9 which sets out the matters to be considered at the AGM.</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Please ensure that you have read the important notice regarding the measures and procedures we have put in place for the AGM in relation to the COVID-19 pandemic which is contained at the bottom of the notice of the AGM on page 9 and in the notes on pages 10 to 13.</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Update on the PRA Acquisition</w:t>
      </w:r>
    </w:p>
    <w:p>
      <w:pPr>
        <w:spacing w:after="0" w:line="187" w:lineRule="exact"/>
        <w:rPr>
          <w:sz w:val="20"/>
          <w:szCs w:val="20"/>
          <w:color w:val="auto"/>
        </w:rPr>
      </w:pPr>
    </w:p>
    <w:p>
      <w:pPr>
        <w:jc w:val="both"/>
        <w:spacing w:after="0" w:line="330" w:lineRule="auto"/>
        <w:rPr>
          <w:sz w:val="20"/>
          <w:szCs w:val="20"/>
          <w:color w:val="auto"/>
        </w:rPr>
      </w:pPr>
      <w:r>
        <w:rPr>
          <w:rFonts w:ascii="Arial" w:cs="Arial" w:eastAsia="Arial" w:hAnsi="Arial"/>
          <w:sz w:val="14"/>
          <w:szCs w:val="14"/>
          <w:color w:val="auto"/>
        </w:rPr>
        <w:t>As announced on February 24, 2021, ICON agreed to acquire PRA Health Sciences, Inc. (</w:t>
      </w:r>
      <w:r>
        <w:rPr>
          <w:rFonts w:ascii="Arial" w:cs="Arial" w:eastAsia="Arial" w:hAnsi="Arial"/>
          <w:sz w:val="14"/>
          <w:szCs w:val="14"/>
          <w:b w:val="1"/>
          <w:bCs w:val="1"/>
          <w:color w:val="auto"/>
        </w:rPr>
        <w:t>PRA</w:t>
      </w:r>
      <w:r>
        <w:rPr>
          <w:rFonts w:ascii="Arial" w:cs="Arial" w:eastAsia="Arial" w:hAnsi="Arial"/>
          <w:sz w:val="14"/>
          <w:szCs w:val="14"/>
          <w:color w:val="auto"/>
        </w:rPr>
        <w:t xml:space="preserve">) (the </w:t>
      </w:r>
      <w:r>
        <w:rPr>
          <w:rFonts w:ascii="Arial" w:cs="Arial" w:eastAsia="Arial" w:hAnsi="Arial"/>
          <w:sz w:val="14"/>
          <w:szCs w:val="14"/>
          <w:b w:val="1"/>
          <w:bCs w:val="1"/>
          <w:color w:val="auto"/>
        </w:rPr>
        <w:t>Acquisition</w:t>
      </w:r>
      <w:r>
        <w:rPr>
          <w:rFonts w:ascii="Arial" w:cs="Arial" w:eastAsia="Arial" w:hAnsi="Arial"/>
          <w:sz w:val="14"/>
          <w:szCs w:val="14"/>
          <w:color w:val="auto"/>
        </w:rPr>
        <w:t>). ICON expects the Acquisition to close on July 1, 2021. We have received all required regulatory approvals and, on June 15, 2021, the ICON shareholders and PRA stockholders both passed the necessary resolutions to approve the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As provided for in the terms of the Acquisition, the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have appointed Mr. Colin Shannon (current PRA Chairman and Chief Executive Officer) and Dr.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Linda Grais (current PRA non-executive Director) as members of the Board subject to, conditional upon and effective from the completion of the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Election/ Re-election of Directors (ordinary resolutions 1.1 to 1.3 and 2.1 to 2.2)</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accordance with our Constitution (by-laws), one third of the members of the Board who are subject to retirement by rotation shall retire from office and may stand for re-election at the AGM. Accordingly, the following directors will stand for re-election:</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Mr. Ciaran Murray – Chair;</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Ms. Joan Garahy – non-executive Director; and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Mr. Eugene McCague – non-executive Director.</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addition, Mr. Colin Shannon and Dr. Linda Grais, whose appointments as non-executive directors of ICON are subject to, conditional upon and effective from the completion of the Acquisition will offer themselves for election if they have been appointed to the Board prior to the AGM. Resolutions 2.1 and 2.2 are only capable of being validly passed, and therefore will only be put to a vote of shareholders, if completion of the Acquisition has occurred before the start of the AGM. If completion of the Acquisition has not occurred before the start of the AGM, the Chair of the AGM will not put Resolutions 2.1 and 2.2 to a vote of the shareholders.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145" w:right="319" w:bottom="144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16"/>
          <w:szCs w:val="16"/>
          <w:color w:val="auto"/>
        </w:rPr>
        <w:t>Mr. Ciaran Murray, Ms. Joan Garahy, Dr. Linda Grais and Mr. Eugene McCague are “independent” non-executive Directors (as that term is defined under the published listing requirements of NASDAQ).</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Each of the Directors standing for election or re-election demonstrates the necessary commitment to the role and provides valuable skills, knowledge and experience and makes important contributions to the working of the Board or, for the former directors of PRA, have made an important contribution in their previous roles on the board of PRA. Further information on the experience, qualifications and industry knowledge of the current Directors is available from the Annual Report and/or Form 20-F at </w:t>
      </w:r>
      <w:r>
        <w:rPr>
          <w:rFonts w:ascii="Arial" w:cs="Arial" w:eastAsia="Arial" w:hAnsi="Arial"/>
          <w:sz w:val="16"/>
          <w:szCs w:val="16"/>
          <w:u w:val="single" w:color="auto"/>
          <w:color w:val="0000FF"/>
        </w:rPr>
        <w:t>https://investor.iconplc.com/financials-filings/annual-reports</w:t>
      </w:r>
      <w:r>
        <w:rPr>
          <w:rFonts w:ascii="Arial" w:cs="Arial" w:eastAsia="Arial" w:hAnsi="Arial"/>
          <w:sz w:val="16"/>
          <w:szCs w:val="16"/>
          <w:color w:val="000000"/>
        </w:rPr>
        <w:t>, the biographies of the incoming directors are set out below and the details of current committee composition is set out</w:t>
      </w:r>
      <w:r>
        <w:rPr>
          <w:rFonts w:ascii="Arial" w:cs="Arial" w:eastAsia="Arial" w:hAnsi="Arial"/>
          <w:sz w:val="16"/>
          <w:szCs w:val="16"/>
          <w:color w:val="0000FF"/>
        </w:rPr>
        <w:t xml:space="preserve"> </w:t>
      </w:r>
      <w:r>
        <w:rPr>
          <w:rFonts w:ascii="Arial" w:cs="Arial" w:eastAsia="Arial" w:hAnsi="Arial"/>
          <w:sz w:val="16"/>
          <w:szCs w:val="16"/>
          <w:color w:val="000000"/>
        </w:rPr>
        <w:t xml:space="preserve">on our website at </w:t>
      </w:r>
      <w:r>
        <w:rPr>
          <w:rFonts w:ascii="Arial" w:cs="Arial" w:eastAsia="Arial" w:hAnsi="Arial"/>
          <w:sz w:val="16"/>
          <w:szCs w:val="16"/>
          <w:u w:val="single" w:color="auto"/>
          <w:color w:val="0000FF"/>
        </w:rPr>
        <w:t>https://investor.iconplc.com/corporate-governance/committee-composition</w:t>
      </w:r>
      <w:r>
        <w:rPr>
          <w:rFonts w:ascii="Arial" w:cs="Arial" w:eastAsia="Arial" w:hAnsi="Arial"/>
          <w:sz w:val="16"/>
          <w:szCs w:val="16"/>
          <w:color w:val="000000"/>
        </w:rPr>
        <w:t>.</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Incoming Directors’ Biographies</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Colin Shannon</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On January 1, 2010, Mr. Shannon was named PRA’s President and Chief Executive Officer and as a director of the PRA. He is currently the Chairman of PRA. Mr. Shannon joined PRA in 2007, serving first as President and Chief Operating Officer. Prior to joining PRA, he was Executive Vice President, Global Clinical Operations at Pharmaceutical Product Development, Inc. (now known as PPD, Inc.), or PPD. During his 12 year tenure with PPD, he held various leadership roles, including Chief Operating Officer for its European division and Chief Financial and Administration Officer for Europe and the Pacific Rim. Prior to joining PPD, Mr. Shannon had more than 15 years of experience in a variety of financial and accounting positions in the utility and multimedia industries. Mr. Shannon earned his M.B.A. from London’s City University and is a fellow member of the Chartered Association of Certified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Linda S. Grais, M.D.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 director of PRA since October 2015, Dr. Grais served as a member of the board of directors of Ocera Therapeutics, Inc. from January 2008 through December 2017 and as President and Chief Executive Officer of Ocera Therapeutics, Inc., a biopharmaceutical company, from June 2012 to December 2017. Prior to her employment by Ocera Therapeutics, Dr. Grais served as a managing member at InterWest Partners, a venture capital firm from May 2005 until February 2011. From July 1998 to July 2003, Dr. Grais was a founder and executive vice president of SGX Pharmaceuticals Inc., a drug discovery company focusing on new treatments for cancer. Prior to that, she was a corporate attorney at Wilson Sonsini Goodrich &amp; Rosati, where she practiced in such areas as venture financings, public offerings and strategic partnerships. Before practicing law, Dr. Grais worked as an assistant clinical professor of Internal Medicine and Critical Care at the University of California, San Francisco. She currently serves on the boards of directors of Corvus Pharmaceuticals, Inc., Zosano Pharma Corporation and Arca Biopharma, Inc.. She sits on the audit committees of Corvus Pharmaceuticals, Inc., Zosano Pharma Corporation and Arca Biopharma, Inc. and on the compensation committee of Arca Biopharma, Inc. Dr. Grais received a B.A. from Yale University, an M.D. from Yale Medical School and a J.D. from Stanford Law School.</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ICON’s 2020 Accounts (ordinary resolution 3)</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This resolution is to review the Company's affairs and consider ICON’s 2020 accounts which have been audited by KPMG, ICON’s independent auditors.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Remuneration of Auditors (ordinary resolution 4)</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This resolution authorises the Directors to fix the remuneration of the auditors.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336"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Authority to issue shares up to 20% of share capital (ordinary resolution 5)</w:t>
      </w:r>
    </w:p>
    <w:p>
      <w:pPr>
        <w:spacing w:after="0" w:line="1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This resolution authorises the Directors to issue shares until the earlier of the next Annual General Meeting of the Company or 19 January 2023 up to an aggregate of 20% of the share capital of the Company without further shareholder approval. This resolution is required under Irish law as the Company is an Irish incorporated company. The 20% cap on this resolution aligns the resolution with the NASDAQ rules which provide that up to 20% of share capital can be issued without shareholder approval.</w:t>
      </w:r>
    </w:p>
    <w:p>
      <w:pPr>
        <w:spacing w:after="0" w:line="3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u w:val="single" w:color="auto"/>
          <w:color w:val="auto"/>
        </w:rPr>
        <w:t>Authority to issue shares up to 5% of share capital without offering to existing shareholders, with an additional 5% for funding capital investment or acquisitions (special resolution 6 and special resolution 7)</w:t>
      </w:r>
    </w:p>
    <w:p>
      <w:pPr>
        <w:jc w:val="both"/>
        <w:spacing w:after="0" w:line="280" w:lineRule="auto"/>
        <w:rPr>
          <w:sz w:val="20"/>
          <w:szCs w:val="20"/>
          <w:color w:val="auto"/>
        </w:rPr>
      </w:pPr>
      <w:r>
        <w:rPr>
          <w:rFonts w:ascii="Arial" w:cs="Arial" w:eastAsia="Arial" w:hAnsi="Arial"/>
          <w:sz w:val="14"/>
          <w:szCs w:val="14"/>
          <w:color w:val="auto"/>
        </w:rPr>
        <w:t>Resolution 6 authorises the Directors to issue shares for cash, subject to resolution 5, until the earlier of the next Annual General Meeting of the Company or 19 January 2023 up to an aggregate of 5% of the share capital of the Company without having to offer the shares to existing shareholders on a pro rata basis. Resolution 7 authorises the Directors to issue an additional 5% of the share capital for cash, again subject to Resolution 5, on a non pre-emptive basis provided that the proceeds of any such share issuance are to be used only for the purposes of financing (or refinancing, if the authority is to be used within six months after the original transaction) an acquisition or other capital investment.</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A resolution authorising the issuance of shares for cash without such offer round is a requirement of Irish law and there is no such requirement under the applicable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rules and NASDAQ rules. As above, this year the authorities under these resolutions expire on the earlier of the next Annual General Meeting of the Company or 19 January 2023.</w:t>
      </w:r>
    </w:p>
    <w:p>
      <w:pPr>
        <w:spacing w:after="0" w:line="17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caps on resolutions 5, 6 and 7 are different but complementary and they provide our shareholders with significant anti-dilution protection far in excess of similar protections provided to the shareholders of many other NASDAQ-listed companies. Every year since the Company was listed (apart from 2014 as resolutions with 5 year authority were passed in 2013), the Directors have put resolutions to authorise the issuance of shares and to disapply offer round to the shareholders and each such resolution has been passed.</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Authority to buy back shares up to 10% of share capital (special resolution 8)</w:t>
      </w:r>
    </w:p>
    <w:p>
      <w:pPr>
        <w:spacing w:after="0" w:line="1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This resolution authorises the Company to purchase in the market (buy-back) up to 10% of the outstanding share capital of the Company. It is important both for the Company and shareholders that the Company has this flexibility to implement a buy-back (without having to seek further shareholder approval) if the market conditions favour a buy-back. It should also be noted that while the applicable SEC rules and NASDAQ rules do not require shareholder approval prior to a share buy-back, this resolution is required as the Company is an Irish incorporated company and Irish law requires shareholders to pass such a resolution to give Directors the authority to put a buy-back in place. The authority under this resolution expires on the earlier of the next Annual General Meeting and 19 January 2023.</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Authority to reissue shares held as treasury shares (special resolution 9)</w:t>
      </w:r>
    </w:p>
    <w:p>
      <w:pPr>
        <w:spacing w:after="0" w:line="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This resolution authorises the price range at which the Company can reissue shares that it holds as treasury shares. Any share buy-back activity by the Company will result in ordinary shares either being cancelled or reissued as treasury shares. We may reissue treasury shares that we acquire through our proposed share buy-back activities including in connection with our executive compensation programme, our employee restricted share unit programme and our other compensation programmes. As a result of using this authority in this way, ICON would avoid the need to issue new shares (and the resulting shareholder dilution) when the vesting of equity awards triggers the requirement to issue shares.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330" w:right="319" w:bottom="1440" w:gutter="0" w:footer="0" w:header="0"/>
        </w:sectPr>
      </w:pPr>
    </w:p>
    <w:bookmarkStart w:id="7" w:name="page8"/>
    <w:bookmarkEnd w:id="7"/>
    <w:p>
      <w:pPr>
        <w:jc w:val="both"/>
        <w:spacing w:after="0" w:line="295" w:lineRule="auto"/>
        <w:rPr>
          <w:sz w:val="20"/>
          <w:szCs w:val="20"/>
          <w:color w:val="auto"/>
        </w:rPr>
      </w:pPr>
      <w:r>
        <w:rPr>
          <w:rFonts w:ascii="Arial" w:cs="Arial" w:eastAsia="Arial" w:hAnsi="Arial"/>
          <w:sz w:val="14"/>
          <w:szCs w:val="14"/>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There is no resolution dealing with executive compensation as ICON, being a foreign private issuer, is not obliged to provide a “say on pay” shareholder resolution on executive compensation. Details of ICON’s executive officers compensation for 2020 are available in the Annual Report and Form 20-F for 2020 which are available at </w:t>
      </w:r>
      <w:r>
        <w:rPr>
          <w:rFonts w:ascii="Arial" w:cs="Arial" w:eastAsia="Arial" w:hAnsi="Arial"/>
          <w:sz w:val="16"/>
          <w:szCs w:val="16"/>
          <w:u w:val="single" w:color="auto"/>
          <w:color w:val="0000FF"/>
        </w:rPr>
        <w:t>https://investor.iconplc.com/financials-filings/annual-reports</w:t>
      </w:r>
      <w:r>
        <w:rPr>
          <w:rFonts w:ascii="Arial" w:cs="Arial" w:eastAsia="Arial" w:hAnsi="Arial"/>
          <w:sz w:val="16"/>
          <w:szCs w:val="16"/>
          <w:color w:val="000000"/>
        </w:rPr>
        <w: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Approval of Resolutions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Resolutions 1.1 to 1.3, 2.1 to 2.2, 3, 4 and 5 are ordinary resolutions which require approval of a simple majority of the votes cast in person or by proxy and resolutions 6 to 9 are special resolutions which require approval of 75% of the votes cast in person or by proxy.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Recommendation of Directors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10 June 2021, the Directors held 620,640 ordinary shares representing approximately 1.2% of the issued ordinary share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127000</wp:posOffset>
            </wp:positionV>
            <wp:extent cx="1414780" cy="309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30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Ciaran Murray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336"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2713355</wp:posOffset>
            </wp:positionH>
            <wp:positionV relativeFrom="page">
              <wp:posOffset>857250</wp:posOffset>
            </wp:positionV>
            <wp:extent cx="2122170" cy="545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22170"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ICON plc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South County Business Park,</w:t>
      </w:r>
    </w:p>
    <w:p>
      <w:pPr>
        <w:jc w:val="center"/>
        <w:spacing w:after="0" w:line="235" w:lineRule="auto"/>
        <w:rPr>
          <w:sz w:val="20"/>
          <w:szCs w:val="20"/>
          <w:color w:val="auto"/>
        </w:rPr>
      </w:pPr>
      <w:r>
        <w:rPr>
          <w:rFonts w:ascii="Arial" w:cs="Arial" w:eastAsia="Arial" w:hAnsi="Arial"/>
          <w:sz w:val="16"/>
          <w:szCs w:val="16"/>
          <w:b w:val="1"/>
          <w:bCs w:val="1"/>
          <w:color w:val="auto"/>
        </w:rPr>
        <w:t>Leopardstown,</w:t>
      </w:r>
    </w:p>
    <w:p>
      <w:pPr>
        <w:jc w:val="center"/>
        <w:spacing w:after="0" w:line="235" w:lineRule="auto"/>
        <w:rPr>
          <w:sz w:val="20"/>
          <w:szCs w:val="20"/>
          <w:color w:val="auto"/>
        </w:rPr>
      </w:pPr>
      <w:r>
        <w:rPr>
          <w:rFonts w:ascii="Arial" w:cs="Arial" w:eastAsia="Arial" w:hAnsi="Arial"/>
          <w:sz w:val="16"/>
          <w:szCs w:val="16"/>
          <w:b w:val="1"/>
          <w:bCs w:val="1"/>
          <w:color w:val="auto"/>
        </w:rPr>
        <w:t>Dublin 18, Ireland</w:t>
      </w:r>
    </w:p>
    <w:p>
      <w:pPr>
        <w:jc w:val="center"/>
        <w:spacing w:after="0"/>
        <w:rPr>
          <w:sz w:val="20"/>
          <w:szCs w:val="20"/>
          <w:color w:val="auto"/>
        </w:rPr>
      </w:pPr>
      <w:r>
        <w:rPr>
          <w:rFonts w:ascii="Arial" w:cs="Arial" w:eastAsia="Arial" w:hAnsi="Arial"/>
          <w:sz w:val="16"/>
          <w:szCs w:val="16"/>
          <w:b w:val="1"/>
          <w:bCs w:val="1"/>
          <w:color w:val="auto"/>
        </w:rPr>
        <w:t>+353-1-291-2000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GENERAL MEETING OF SHAREHOLDERS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ON 20 JULY,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ICON plc:</w:t>
      </w:r>
    </w:p>
    <w:p>
      <w:pPr>
        <w:spacing w:after="0" w:line="35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is hereby given that the Annual General Meeting of the Company will be held at ICON’s global headquarters in South County Business Park, Leopardstown, Dublin 18,</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Ireland on 20 July 2021 at 12.00pm (Dublin time) (the </w:t>
      </w:r>
      <w:r>
        <w:rPr>
          <w:rFonts w:ascii="Arial" w:cs="Arial" w:eastAsia="Arial" w:hAnsi="Arial"/>
          <w:sz w:val="16"/>
          <w:szCs w:val="16"/>
          <w:b w:val="1"/>
          <w:bCs w:val="1"/>
          <w:color w:val="auto"/>
        </w:rPr>
        <w:t>AGM</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ORDINARY BUSINESS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To consider and, if thought fit, pass the following ordinary resolutions:</w:t>
      </w:r>
    </w:p>
    <w:p>
      <w:pPr>
        <w:spacing w:after="0" w:line="187" w:lineRule="exact"/>
        <w:rPr>
          <w:sz w:val="20"/>
          <w:szCs w:val="20"/>
          <w:color w:val="auto"/>
        </w:rPr>
      </w:pPr>
    </w:p>
    <w:p>
      <w:pPr>
        <w:ind w:left="520" w:hanging="515"/>
        <w:spacing w:after="0" w:line="251" w:lineRule="auto"/>
        <w:tabs>
          <w:tab w:leader="none" w:pos="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re-elect, by separate resolutions, the following individuals who retire as Directors in accordance with the Constitution of the Company and, being eligible, offer themselves for re-election:</w:t>
      </w:r>
    </w:p>
    <w:p>
      <w:pPr>
        <w:spacing w:after="0" w:line="16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1.1 Mr. Ciaran Murray;</w:t>
      </w:r>
    </w:p>
    <w:p>
      <w:pPr>
        <w:spacing w:after="0" w:line="8" w:lineRule="exact"/>
        <w:rPr>
          <w:rFonts w:ascii="Arial" w:cs="Arial" w:eastAsia="Arial" w:hAnsi="Arial"/>
          <w:sz w:val="16"/>
          <w:szCs w:val="16"/>
          <w:color w:val="auto"/>
        </w:rPr>
      </w:pPr>
    </w:p>
    <w:p>
      <w:pPr>
        <w:ind w:left="520"/>
        <w:spacing w:after="0" w:line="235" w:lineRule="auto"/>
        <w:rPr>
          <w:rFonts w:ascii="Arial" w:cs="Arial" w:eastAsia="Arial" w:hAnsi="Arial"/>
          <w:sz w:val="16"/>
          <w:szCs w:val="16"/>
          <w:color w:val="auto"/>
        </w:rPr>
      </w:pPr>
      <w:r>
        <w:rPr>
          <w:rFonts w:ascii="Arial" w:cs="Arial" w:eastAsia="Arial" w:hAnsi="Arial"/>
          <w:sz w:val="16"/>
          <w:szCs w:val="16"/>
          <w:color w:val="auto"/>
        </w:rPr>
        <w:t>1.2 Ms. Joan Garahy; and</w:t>
      </w:r>
    </w:p>
    <w:p>
      <w:pPr>
        <w:ind w:left="520"/>
        <w:spacing w:after="0"/>
        <w:rPr>
          <w:rFonts w:ascii="Arial" w:cs="Arial" w:eastAsia="Arial" w:hAnsi="Arial"/>
          <w:sz w:val="16"/>
          <w:szCs w:val="16"/>
          <w:color w:val="auto"/>
        </w:rPr>
      </w:pPr>
      <w:r>
        <w:rPr>
          <w:rFonts w:ascii="Arial" w:cs="Arial" w:eastAsia="Arial" w:hAnsi="Arial"/>
          <w:sz w:val="16"/>
          <w:szCs w:val="16"/>
          <w:color w:val="auto"/>
        </w:rPr>
        <w:t>1.3 Mr. Eugene McCague.</w:t>
      </w:r>
    </w:p>
    <w:p>
      <w:pPr>
        <w:spacing w:after="0" w:line="175" w:lineRule="exact"/>
        <w:rPr>
          <w:rFonts w:ascii="Arial" w:cs="Arial" w:eastAsia="Arial" w:hAnsi="Arial"/>
          <w:sz w:val="16"/>
          <w:szCs w:val="16"/>
          <w:color w:val="auto"/>
        </w:rPr>
      </w:pPr>
    </w:p>
    <w:p>
      <w:pPr>
        <w:ind w:left="520" w:hanging="515"/>
        <w:spacing w:after="0" w:line="321" w:lineRule="auto"/>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and conditional upon completion of the acquisition by ICON of PRA Health Sciences, Inc. having occurred before the start of the AGM, to elect, by separate resolutions, the following individuals who retire as Directors in accordance with the Constitution of the Company and, being eligible, offer themselves for re-election:</w:t>
      </w:r>
    </w:p>
    <w:p>
      <w:pPr>
        <w:spacing w:after="0" w:line="12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6"/>
          <w:szCs w:val="16"/>
          <w:color w:val="auto"/>
        </w:rPr>
        <w:t>2.1 Mr. Colin Shannon; and</w:t>
      </w:r>
    </w:p>
    <w:p>
      <w:pPr>
        <w:spacing w:after="0" w:line="8"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6"/>
          <w:szCs w:val="16"/>
          <w:color w:val="auto"/>
        </w:rPr>
        <w:t>2.2 Dr. Linda Grais.</w:t>
      </w:r>
    </w:p>
    <w:p>
      <w:pPr>
        <w:spacing w:after="0" w:line="164" w:lineRule="exact"/>
        <w:rPr>
          <w:rFonts w:ascii="Arial" w:cs="Arial" w:eastAsia="Arial" w:hAnsi="Arial"/>
          <w:sz w:val="14"/>
          <w:szCs w:val="14"/>
          <w:color w:val="auto"/>
        </w:rPr>
      </w:pPr>
    </w:p>
    <w:p>
      <w:pPr>
        <w:ind w:left="500" w:hanging="495"/>
        <w:spacing w:after="0"/>
        <w:tabs>
          <w:tab w:leader="none" w:pos="500" w:val="left"/>
        </w:tabs>
        <w:numPr>
          <w:ilvl w:val="0"/>
          <w:numId w:val="2"/>
        </w:numPr>
        <w:rPr>
          <w:rFonts w:ascii="Arial" w:cs="Arial" w:eastAsia="Arial" w:hAnsi="Arial"/>
          <w:sz w:val="15"/>
          <w:szCs w:val="15"/>
          <w:color w:val="auto"/>
        </w:rPr>
      </w:pPr>
      <w:r>
        <w:rPr>
          <w:rFonts w:ascii="Arial" w:cs="Arial" w:eastAsia="Arial" w:hAnsi="Arial"/>
          <w:sz w:val="15"/>
          <w:szCs w:val="15"/>
          <w:color w:val="auto"/>
        </w:rPr>
        <w:t>To review the Company's affairs and consider the accounts for the year ended 31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December 2020 and the reports of the Directors and auditors thereon.</w:t>
      </w:r>
    </w:p>
    <w:p>
      <w:pPr>
        <w:spacing w:after="0" w:line="153" w:lineRule="exact"/>
        <w:rPr>
          <w:rFonts w:ascii="Arial" w:cs="Arial" w:eastAsia="Arial" w:hAnsi="Arial"/>
          <w:sz w:val="15"/>
          <w:szCs w:val="15"/>
          <w:color w:val="auto"/>
        </w:rPr>
      </w:pPr>
    </w:p>
    <w:p>
      <w:pPr>
        <w:ind w:left="500" w:hanging="495"/>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authorise the Directors to fix the remuneration of the auditors.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BUSINESS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To consider and, if thought fit, pass the following ordinary resolution:</w:t>
      </w:r>
    </w:p>
    <w:p>
      <w:pPr>
        <w:spacing w:after="0" w:line="187" w:lineRule="exact"/>
        <w:rPr>
          <w:sz w:val="20"/>
          <w:szCs w:val="20"/>
          <w:color w:val="auto"/>
        </w:rPr>
      </w:pPr>
    </w:p>
    <w:p>
      <w:pPr>
        <w:ind w:left="500" w:hanging="495"/>
        <w:spacing w:after="0" w:line="251"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“That the Directors be and are hereby generally and unconditionally authorised, pursuant to Section 1021 of the Companies Act 2014, to exercise all the powers of the Company to allot relevant</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440" w:right="319" w:bottom="1440" w:gutter="0" w:footer="0" w:header="0"/>
        </w:sectPr>
      </w:pPr>
    </w:p>
    <w:bookmarkStart w:id="9" w:name="page10"/>
    <w:bookmarkEnd w:id="9"/>
    <w:p>
      <w:pPr>
        <w:jc w:val="both"/>
        <w:ind w:left="500"/>
        <w:spacing w:after="0" w:line="277" w:lineRule="auto"/>
        <w:rPr>
          <w:sz w:val="20"/>
          <w:szCs w:val="20"/>
          <w:color w:val="auto"/>
        </w:rPr>
      </w:pPr>
      <w:r>
        <w:rPr>
          <w:rFonts w:ascii="Arial" w:cs="Arial" w:eastAsia="Arial" w:hAnsi="Arial"/>
          <w:sz w:val="14"/>
          <w:szCs w:val="14"/>
          <w:color w:val="auto"/>
        </w:rPr>
        <w:t>securities (within the meaning of Section 1021 of the Companies Act 2014) up to an aggregate nominal amount of €635,496.76 representing approximately 20% of the aggregate nominal value of the issued ordinary share capital of the Company as at 10 June 2021 and the authority conferred by this resolution shall (a) expire on the earlier of the date of the next Annual General Meeting of the Company or 19 January 2023,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 and (b) be without prejudice and in addition to the authority under the said Section 1021 granted to the Directors pursuant to an ordinary resolution passed at an extraordinary meeting of ICON held on 15 June 2021.”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To consider and, if thought fit, pass the following special resolutions:</w:t>
      </w:r>
    </w:p>
    <w:p>
      <w:pPr>
        <w:spacing w:after="0" w:line="187" w:lineRule="exact"/>
        <w:rPr>
          <w:sz w:val="20"/>
          <w:szCs w:val="20"/>
          <w:color w:val="auto"/>
        </w:rPr>
      </w:pPr>
    </w:p>
    <w:p>
      <w:pPr>
        <w:jc w:val="both"/>
        <w:ind w:left="500" w:hanging="495"/>
        <w:spacing w:after="0" w:line="277"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“That, subject to the passing of Resolution 5, the Directors be and are hereby empowered pursuant to Section 1022 and Section 1023(3) of the Companies Act 2014, to allot equity securities (as defined in Section 1023 of the Companies Act 2014) for cash as if the provisions of sub-section (1) of the said Section 1022 did not apply to any such allotment up to an aggregate nominal amount of €158,874.19 representing approximately 5% of the aggregate nominal value of the issued ordinary share capital of the Company as at 10 June 2021 and the authority conferred by this Resolution shall expire on the earlier of the date of the next Annual General Meeting of the Company or 19 January 2023,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52" w:lineRule="exact"/>
        <w:rPr>
          <w:rFonts w:ascii="Arial" w:cs="Arial" w:eastAsia="Arial" w:hAnsi="Arial"/>
          <w:sz w:val="14"/>
          <w:szCs w:val="14"/>
          <w:color w:val="auto"/>
        </w:rPr>
      </w:pPr>
    </w:p>
    <w:p>
      <w:pPr>
        <w:jc w:val="both"/>
        <w:ind w:left="500" w:hanging="495"/>
        <w:spacing w:after="0" w:line="243"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subject to the passing of Resolution 5, the Directors be and they are hereby authorised in addition to any authority granted under Resolution 6, to allot equity securities (as defined in Section 1023 of the Companies Act 2014) for cash as if the provisions of sub-section (1) of the said Section 1022 did not apply to any such allotment provided that:</w:t>
      </w:r>
    </w:p>
    <w:p>
      <w:pPr>
        <w:spacing w:after="0" w:line="173" w:lineRule="exact"/>
        <w:rPr>
          <w:rFonts w:ascii="Arial" w:cs="Arial" w:eastAsia="Arial" w:hAnsi="Arial"/>
          <w:sz w:val="16"/>
          <w:szCs w:val="16"/>
          <w:color w:val="auto"/>
        </w:rPr>
      </w:pPr>
    </w:p>
    <w:p>
      <w:pPr>
        <w:ind w:left="1020" w:hanging="506"/>
        <w:spacing w:after="0" w:line="251" w:lineRule="auto"/>
        <w:tabs>
          <w:tab w:leader="none" w:pos="1018"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proceeds of any such allotment are to be used for the purposes of financing (or refinancing, if the authority is to be used within six months after the original transaction) an acquisition or other capital investment; and</w:t>
      </w:r>
    </w:p>
    <w:p>
      <w:pPr>
        <w:spacing w:after="0" w:line="166" w:lineRule="exact"/>
        <w:rPr>
          <w:rFonts w:ascii="Arial" w:cs="Arial" w:eastAsia="Arial" w:hAnsi="Arial"/>
          <w:sz w:val="16"/>
          <w:szCs w:val="16"/>
          <w:color w:val="auto"/>
        </w:rPr>
      </w:pPr>
    </w:p>
    <w:p>
      <w:pPr>
        <w:jc w:val="both"/>
        <w:ind w:left="1020" w:right="120" w:hanging="506"/>
        <w:spacing w:after="0" w:line="243" w:lineRule="auto"/>
        <w:tabs>
          <w:tab w:leader="none" w:pos="1019"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nominal value of all equity securities allotted pursuant to this authority together with the nominal value of all treasury shares (as defined in Section 106 of the Companies Act 2014) reissued pursuant to Resolution 8 not exceed €158,874.19 representing approximately 5% of the nominal value of the issued share capital as at 10 June 2021.</w:t>
      </w:r>
    </w:p>
    <w:p>
      <w:pPr>
        <w:spacing w:after="0" w:line="173" w:lineRule="exact"/>
        <w:rPr>
          <w:sz w:val="20"/>
          <w:szCs w:val="20"/>
          <w:color w:val="auto"/>
        </w:rPr>
      </w:pPr>
    </w:p>
    <w:p>
      <w:pPr>
        <w:jc w:val="both"/>
        <w:ind w:left="500" w:firstLine="11"/>
        <w:spacing w:after="0"/>
        <w:rPr>
          <w:sz w:val="20"/>
          <w:szCs w:val="20"/>
          <w:color w:val="auto"/>
        </w:rPr>
      </w:pPr>
      <w:r>
        <w:rPr>
          <w:rFonts w:ascii="Arial" w:cs="Arial" w:eastAsia="Arial" w:hAnsi="Arial"/>
          <w:sz w:val="16"/>
          <w:szCs w:val="16"/>
          <w:color w:val="auto"/>
        </w:rPr>
        <w:t>The authority conferred by this resolution shall expire on the earlier of the date of the next Annual General Meeting of the Company or 19 January 2023,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77" w:lineRule="exact"/>
        <w:rPr>
          <w:sz w:val="20"/>
          <w:szCs w:val="20"/>
          <w:color w:val="auto"/>
        </w:rPr>
      </w:pPr>
    </w:p>
    <w:p>
      <w:pPr>
        <w:ind w:left="500" w:hanging="495"/>
        <w:spacing w:after="0" w:line="251"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the Company and/or any subsidiary (as such expression is defined by Section 7 of the Companies Act 2014) of the Company be and they are hereby generally authorised to make overseas</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145" w:right="319" w:bottom="1440" w:gutter="0" w:footer="0" w:header="0"/>
        </w:sectPr>
      </w:pPr>
    </w:p>
    <w:bookmarkStart w:id="10" w:name="page11"/>
    <w:bookmarkEnd w:id="10"/>
    <w:p>
      <w:pPr>
        <w:jc w:val="both"/>
        <w:ind w:left="500"/>
        <w:spacing w:after="0" w:line="243" w:lineRule="auto"/>
        <w:rPr>
          <w:sz w:val="20"/>
          <w:szCs w:val="20"/>
          <w:color w:val="auto"/>
        </w:rPr>
      </w:pPr>
      <w:r>
        <w:rPr>
          <w:rFonts w:ascii="Arial" w:cs="Arial" w:eastAsia="Arial" w:hAnsi="Arial"/>
          <w:sz w:val="16"/>
          <w:szCs w:val="16"/>
          <w:color w:val="auto"/>
        </w:rPr>
        <w:t>market purchases (as defined by Section 1072(2) of the Companies Act 2014) of shares of any class of the Company on such terms and conditions and in such manner as the Directors or, as the case may be, the Directors of such subsidiary, may from time to time determine in accordance with and subject to the provisions of the Companies Act 2014 and the following restrictions and provisions:</w:t>
      </w:r>
    </w:p>
    <w:p>
      <w:pPr>
        <w:spacing w:after="0" w:line="173" w:lineRule="exact"/>
        <w:rPr>
          <w:sz w:val="20"/>
          <w:szCs w:val="20"/>
          <w:color w:val="auto"/>
        </w:rPr>
      </w:pPr>
    </w:p>
    <w:p>
      <w:pPr>
        <w:ind w:left="1020" w:hanging="506"/>
        <w:spacing w:after="0" w:line="251" w:lineRule="auto"/>
        <w:tabs>
          <w:tab w:leader="none" w:pos="101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maximum aggregate number of shares authorised to be acquired pursuant to this resolution shall not exceed 10% of the aggregate number of shares issued by the Company at close of business on the date of passing of this resolution;</w:t>
      </w:r>
    </w:p>
    <w:p>
      <w:pPr>
        <w:spacing w:after="0" w:line="166" w:lineRule="exact"/>
        <w:rPr>
          <w:rFonts w:ascii="Arial" w:cs="Arial" w:eastAsia="Arial" w:hAnsi="Arial"/>
          <w:sz w:val="16"/>
          <w:szCs w:val="16"/>
          <w:color w:val="auto"/>
        </w:rPr>
      </w:pPr>
    </w:p>
    <w:p>
      <w:pPr>
        <w:ind w:left="1020" w:hanging="506"/>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minimum price (exclusive of expenses) which may be paid for any such share shall be an amount equal to the nominal value thereof; and</w:t>
      </w:r>
    </w:p>
    <w:p>
      <w:pPr>
        <w:spacing w:after="0" w:line="187" w:lineRule="exact"/>
        <w:rPr>
          <w:rFonts w:ascii="Arial" w:cs="Arial" w:eastAsia="Arial" w:hAnsi="Arial"/>
          <w:sz w:val="16"/>
          <w:szCs w:val="16"/>
          <w:color w:val="auto"/>
        </w:rPr>
      </w:pPr>
    </w:p>
    <w:p>
      <w:pPr>
        <w:ind w:left="1020" w:hanging="506"/>
        <w:spacing w:after="0" w:line="321" w:lineRule="auto"/>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maximum price (exclusive of expenses) to be paid for any ordinary share shall be an amount equal to 115% of the NASDAQ Official Close Price (the “NOCP”) (as reported by NASDAQ) of the Company’s ordinary shares on the trading day preceding the day on which the relevant shares are purchased by the Company.</w:t>
      </w:r>
    </w:p>
    <w:p>
      <w:pPr>
        <w:spacing w:after="0" w:line="121" w:lineRule="exact"/>
        <w:rPr>
          <w:sz w:val="20"/>
          <w:szCs w:val="20"/>
          <w:color w:val="auto"/>
        </w:rPr>
      </w:pPr>
    </w:p>
    <w:p>
      <w:pPr>
        <w:jc w:val="both"/>
        <w:ind w:left="500"/>
        <w:spacing w:after="0"/>
        <w:rPr>
          <w:sz w:val="20"/>
          <w:szCs w:val="20"/>
          <w:color w:val="auto"/>
        </w:rPr>
      </w:pPr>
      <w:r>
        <w:rPr>
          <w:rFonts w:ascii="Arial" w:cs="Arial" w:eastAsia="Arial" w:hAnsi="Arial"/>
          <w:sz w:val="16"/>
          <w:szCs w:val="16"/>
          <w:color w:val="auto"/>
        </w:rPr>
        <w:t>The authority hereby conferred shall expire on the earlier of the date of the next Annual General Meeting of the Company or 19 January 2023 or (if earlier) unless previously varied, revoked or renewed in accordance with the provisions of Section 1074 of the Companies Act 2014. The Company or any subsidiary may before such expiry make a contract for the purchase of shares which would or might be wholly or partly executed after such expiry and may make a purchase of shares pursuant to any such contract as if the authority hereby conferred had not expired.”</w:t>
      </w:r>
    </w:p>
    <w:p>
      <w:pPr>
        <w:spacing w:after="0" w:line="177" w:lineRule="exact"/>
        <w:rPr>
          <w:sz w:val="20"/>
          <w:szCs w:val="20"/>
          <w:color w:val="auto"/>
        </w:rPr>
      </w:pPr>
    </w:p>
    <w:p>
      <w:pPr>
        <w:ind w:left="280" w:hanging="275"/>
        <w:spacing w:after="0"/>
        <w:tabs>
          <w:tab w:leader="none" w:pos="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“That the reissue price range at which any treasury shares held by the Company may be reissued off-market shall be as follows:</w:t>
      </w:r>
    </w:p>
    <w:p>
      <w:pPr>
        <w:spacing w:after="0" w:line="187" w:lineRule="exact"/>
        <w:rPr>
          <w:rFonts w:ascii="Arial" w:cs="Arial" w:eastAsia="Arial" w:hAnsi="Arial"/>
          <w:sz w:val="16"/>
          <w:szCs w:val="16"/>
          <w:color w:val="auto"/>
        </w:rPr>
      </w:pPr>
    </w:p>
    <w:p>
      <w:pPr>
        <w:ind w:left="820" w:hanging="306"/>
        <w:spacing w:after="0"/>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maximum price at which such treasury share may be reissued off-market shall be an amount equal to 120% of the “market price”; and</w:t>
      </w:r>
    </w:p>
    <w:p>
      <w:pPr>
        <w:spacing w:after="0" w:line="187" w:lineRule="exact"/>
        <w:rPr>
          <w:rFonts w:ascii="Arial" w:cs="Arial" w:eastAsia="Arial" w:hAnsi="Arial"/>
          <w:sz w:val="16"/>
          <w:szCs w:val="16"/>
          <w:color w:val="auto"/>
        </w:rPr>
      </w:pPr>
    </w:p>
    <w:p>
      <w:pPr>
        <w:ind w:left="1020" w:hanging="506"/>
        <w:spacing w:after="0" w:line="321" w:lineRule="auto"/>
        <w:tabs>
          <w:tab w:leader="none" w:pos="868" w:val="left"/>
        </w:tabs>
        <w:numPr>
          <w:ilvl w:val="1"/>
          <w:numId w:val="7"/>
        </w:numPr>
        <w:rPr>
          <w:rFonts w:ascii="Arial" w:cs="Arial" w:eastAsia="Arial" w:hAnsi="Arial"/>
          <w:sz w:val="14"/>
          <w:szCs w:val="14"/>
          <w:color w:val="auto"/>
        </w:rPr>
      </w:pPr>
      <w:r>
        <w:rPr>
          <w:rFonts w:ascii="Arial" w:cs="Arial" w:eastAsia="Arial" w:hAnsi="Arial"/>
          <w:sz w:val="14"/>
          <w:szCs w:val="14"/>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121" w:lineRule="exact"/>
        <w:rPr>
          <w:rFonts w:ascii="Arial" w:cs="Arial" w:eastAsia="Arial" w:hAnsi="Arial"/>
          <w:sz w:val="14"/>
          <w:szCs w:val="14"/>
          <w:color w:val="auto"/>
        </w:rPr>
      </w:pPr>
    </w:p>
    <w:p>
      <w:pPr>
        <w:ind w:left="900" w:hanging="386"/>
        <w:spacing w:after="0"/>
        <w:tabs>
          <w:tab w:leader="none" w:pos="900" w:val="left"/>
        </w:tabs>
        <w:numPr>
          <w:ilvl w:val="1"/>
          <w:numId w:val="7"/>
        </w:numPr>
        <w:rPr>
          <w:rFonts w:ascii="Arial" w:cs="Arial" w:eastAsia="Arial" w:hAnsi="Arial"/>
          <w:sz w:val="14"/>
          <w:szCs w:val="14"/>
          <w:color w:val="auto"/>
        </w:rPr>
      </w:pPr>
      <w:r>
        <w:rPr>
          <w:rFonts w:ascii="Arial" w:cs="Arial" w:eastAsia="Arial" w:hAnsi="Arial"/>
          <w:sz w:val="14"/>
          <w:szCs w:val="14"/>
          <w:color w:val="auto"/>
        </w:rPr>
        <w:t>for the purposes of this resolution, the “market price” shall mean the average closing price per ordinary share of the Company, as reported by NASDAQ, for the thirty</w:t>
      </w:r>
    </w:p>
    <w:p>
      <w:pPr>
        <w:spacing w:after="0" w:line="31" w:lineRule="exact"/>
        <w:rPr>
          <w:rFonts w:ascii="Arial" w:cs="Arial" w:eastAsia="Arial" w:hAnsi="Arial"/>
          <w:sz w:val="14"/>
          <w:szCs w:val="14"/>
          <w:color w:val="auto"/>
        </w:rPr>
      </w:pPr>
    </w:p>
    <w:p>
      <w:pPr>
        <w:ind w:left="1320" w:hanging="297"/>
        <w:spacing w:after="0"/>
        <w:tabs>
          <w:tab w:leader="none" w:pos="1320" w:val="left"/>
        </w:tabs>
        <w:numPr>
          <w:ilvl w:val="2"/>
          <w:numId w:val="7"/>
        </w:numPr>
        <w:rPr>
          <w:rFonts w:ascii="Arial" w:cs="Arial" w:eastAsia="Arial" w:hAnsi="Arial"/>
          <w:sz w:val="16"/>
          <w:szCs w:val="16"/>
          <w:color w:val="auto"/>
        </w:rPr>
      </w:pPr>
      <w:r>
        <w:rPr>
          <w:rFonts w:ascii="Arial" w:cs="Arial" w:eastAsia="Arial" w:hAnsi="Arial"/>
          <w:sz w:val="16"/>
          <w:szCs w:val="16"/>
          <w:color w:val="auto"/>
        </w:rPr>
        <w:t>trading days immediately preceding the proposed date of reissuance.</w:t>
      </w:r>
    </w:p>
    <w:p>
      <w:pPr>
        <w:spacing w:after="0" w:line="175" w:lineRule="exact"/>
        <w:rPr>
          <w:sz w:val="20"/>
          <w:szCs w:val="20"/>
          <w:color w:val="auto"/>
        </w:rPr>
      </w:pPr>
    </w:p>
    <w:p>
      <w:pPr>
        <w:ind w:left="520"/>
        <w:spacing w:after="0" w:line="251" w:lineRule="auto"/>
        <w:rPr>
          <w:sz w:val="20"/>
          <w:szCs w:val="20"/>
          <w:color w:val="auto"/>
        </w:rPr>
      </w:pPr>
      <w:r>
        <w:rPr>
          <w:rFonts w:ascii="Arial" w:cs="Arial" w:eastAsia="Arial" w:hAnsi="Arial"/>
          <w:sz w:val="16"/>
          <w:szCs w:val="16"/>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145" w:right="319" w:bottom="1440" w:gutter="0" w:footer="0" w:header="0"/>
        </w:sectPr>
      </w:pPr>
    </w:p>
    <w:bookmarkStart w:id="11" w:name="page12"/>
    <w:bookmarkEnd w:id="11"/>
    <w:p>
      <w:pPr>
        <w:spacing w:after="0" w:line="315"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278765</wp:posOffset>
            </wp:positionV>
            <wp:extent cx="1050925" cy="222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925"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Diarmaid Cunningham</w:t>
      </w:r>
    </w:p>
    <w:p>
      <w:pPr>
        <w:spacing w:after="0" w:line="8"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Company Secretary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Dublin, Ireland</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Dated: 16 June, 2021</w:t>
      </w:r>
    </w:p>
    <w:p>
      <w:pPr>
        <w:spacing w:after="0" w:line="148" w:lineRule="exact"/>
        <w:rPr>
          <w:sz w:val="20"/>
          <w:szCs w:val="20"/>
          <w:color w:val="auto"/>
        </w:rPr>
      </w:pPr>
    </w:p>
    <w:p>
      <w:pPr>
        <w:ind w:left="520" w:right="120"/>
        <w:spacing w:after="0" w:line="245" w:lineRule="auto"/>
        <w:rPr>
          <w:sz w:val="20"/>
          <w:szCs w:val="20"/>
          <w:color w:val="auto"/>
        </w:rPr>
      </w:pPr>
      <w:r>
        <w:rPr>
          <w:rFonts w:ascii="Arial" w:cs="Arial" w:eastAsia="Arial" w:hAnsi="Arial"/>
          <w:sz w:val="16"/>
          <w:szCs w:val="16"/>
          <w:b w:val="1"/>
          <w:bCs w:val="1"/>
          <w:color w:val="auto"/>
        </w:rPr>
        <w:t>Your vote is important. ICON shareholders are requested to complete, date, sign and return the enclosed proxy in the envelope provided, or to submit their votes electronically through the Internet or by telephone.</w:t>
      </w:r>
    </w:p>
    <w:p>
      <w:pPr>
        <w:spacing w:after="0" w:line="155" w:lineRule="exact"/>
        <w:rPr>
          <w:sz w:val="20"/>
          <w:szCs w:val="20"/>
          <w:color w:val="auto"/>
        </w:rPr>
      </w:pPr>
    </w:p>
    <w:p>
      <w:pPr>
        <w:jc w:val="both"/>
        <w:ind w:left="520" w:firstLine="509"/>
        <w:spacing w:after="0" w:line="289" w:lineRule="auto"/>
        <w:rPr>
          <w:sz w:val="20"/>
          <w:szCs w:val="20"/>
          <w:color w:val="auto"/>
        </w:rPr>
      </w:pPr>
      <w:r>
        <w:rPr>
          <w:rFonts w:ascii="Arial" w:cs="Arial" w:eastAsia="Arial" w:hAnsi="Arial"/>
          <w:sz w:val="14"/>
          <w:szCs w:val="14"/>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attendance at the AGM. Shareholders are referred to the Notes section which sets out further detail on the public health situation in Ireland and current restrictions around in person attendance at the ICON offices. ICON therefore strongly encourages voting via mail, telephone and Internet over in person attendance at the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440"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NOTES:</w:t>
      </w:r>
    </w:p>
    <w:p>
      <w:pPr>
        <w:spacing w:after="0" w:line="187"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Information and Documentation</w:t>
      </w:r>
    </w:p>
    <w:p>
      <w:pPr>
        <w:spacing w:after="0" w:line="14" w:lineRule="exact"/>
        <w:rPr>
          <w:sz w:val="20"/>
          <w:szCs w:val="20"/>
          <w:color w:val="auto"/>
        </w:rPr>
      </w:pPr>
    </w:p>
    <w:p>
      <w:pPr>
        <w:ind w:left="500" w:firstLine="8"/>
        <w:spacing w:after="0" w:line="238" w:lineRule="auto"/>
        <w:rPr>
          <w:sz w:val="20"/>
          <w:szCs w:val="20"/>
          <w:color w:val="auto"/>
        </w:rPr>
      </w:pPr>
      <w:r>
        <w:rPr>
          <w:rFonts w:ascii="Arial" w:cs="Arial" w:eastAsia="Arial" w:hAnsi="Arial"/>
          <w:sz w:val="16"/>
          <w:szCs w:val="16"/>
          <w:color w:val="auto"/>
        </w:rPr>
        <w:t xml:space="preserve">Information regarding the Annual General Meeting is available on the Company’s website </w:t>
      </w:r>
      <w:r>
        <w:rPr>
          <w:rFonts w:ascii="Arial" w:cs="Arial" w:eastAsia="Arial" w:hAnsi="Arial"/>
          <w:sz w:val="16"/>
          <w:szCs w:val="16"/>
          <w:u w:val="single" w:color="auto"/>
          <w:color w:val="0000FF"/>
        </w:rPr>
        <w:t>www.iconplc.com</w:t>
      </w:r>
      <w:r>
        <w:rPr>
          <w:rFonts w:ascii="Arial" w:cs="Arial" w:eastAsia="Arial" w:hAnsi="Arial"/>
          <w:sz w:val="16"/>
          <w:szCs w:val="16"/>
          <w:color w:val="auto"/>
        </w:rPr>
        <w:t xml:space="preserve"> and from </w:t>
      </w:r>
      <w:r>
        <w:rPr>
          <w:rFonts w:ascii="Arial" w:cs="Arial" w:eastAsia="Arial" w:hAnsi="Arial"/>
          <w:sz w:val="16"/>
          <w:szCs w:val="16"/>
          <w:u w:val="single" w:color="auto"/>
          <w:color w:val="0000FF"/>
        </w:rPr>
        <w:t>www.proxyvote.com</w:t>
      </w:r>
      <w:r>
        <w:rPr>
          <w:rFonts w:ascii="Arial" w:cs="Arial" w:eastAsia="Arial" w:hAnsi="Arial"/>
          <w:sz w:val="16"/>
          <w:szCs w:val="16"/>
          <w:color w:val="auto"/>
        </w:rPr>
        <w:t>. If you require a paper copy of the Form 20-F or Annual Report, please contact Investor Relations at 1-888-381-7923 or IR@iconplc.com.</w:t>
      </w:r>
    </w:p>
    <w:p>
      <w:pPr>
        <w:spacing w:after="0" w:line="169"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Who is eligible to vote and how?</w:t>
      </w:r>
    </w:p>
    <w:p>
      <w:pPr>
        <w:spacing w:after="0" w:line="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record date for the Annual General Meeting is 10 June 2021.</w:t>
      </w:r>
    </w:p>
    <w:p>
      <w:pPr>
        <w:spacing w:after="0" w:line="175" w:lineRule="exact"/>
        <w:rPr>
          <w:sz w:val="20"/>
          <w:szCs w:val="20"/>
          <w:color w:val="auto"/>
        </w:rPr>
      </w:pPr>
    </w:p>
    <w:p>
      <w:pPr>
        <w:jc w:val="both"/>
        <w:ind w:left="500"/>
        <w:spacing w:after="0" w:line="295" w:lineRule="auto"/>
        <w:rPr>
          <w:sz w:val="20"/>
          <w:szCs w:val="20"/>
          <w:color w:val="auto"/>
        </w:rPr>
      </w:pPr>
      <w:r>
        <w:rPr>
          <w:rFonts w:ascii="Arial" w:cs="Arial" w:eastAsia="Arial" w:hAnsi="Arial"/>
          <w:sz w:val="14"/>
          <w:szCs w:val="14"/>
          <w:color w:val="auto"/>
        </w:rPr>
        <w:t>If your shares are registered in your name, you are a shareholder of record. Shareholders of record who are entered in the Register of Members of the Company on 10 June 2021 shall be entitled to attend, speak, ask questions and vote at the Annual General Meeting, or if relevant, any adjournment thereof. Changes in the Register of Members of the Company after that time will be disregarded in determining the right of any person to attend and/or vote at the Annual General Meeting.</w:t>
      </w:r>
    </w:p>
    <w:p>
      <w:pPr>
        <w:spacing w:after="0" w:line="138" w:lineRule="exact"/>
        <w:rPr>
          <w:sz w:val="20"/>
          <w:szCs w:val="20"/>
          <w:color w:val="auto"/>
        </w:rPr>
      </w:pPr>
    </w:p>
    <w:p>
      <w:pPr>
        <w:jc w:val="both"/>
        <w:ind w:left="500"/>
        <w:spacing w:after="0" w:line="251" w:lineRule="auto"/>
        <w:rPr>
          <w:sz w:val="20"/>
          <w:szCs w:val="20"/>
          <w:color w:val="auto"/>
        </w:rPr>
      </w:pPr>
      <w:r>
        <w:rPr>
          <w:rFonts w:ascii="Arial" w:cs="Arial" w:eastAsia="Arial" w:hAnsi="Arial"/>
          <w:sz w:val="16"/>
          <w:szCs w:val="16"/>
          <w:color w:val="auto"/>
        </w:rPr>
        <w:t>For those shareholders whose shares are not held in their name, but rather in an account at a brokerage firm, bank, dealer or other similar organisation, who in turn hold through The Depository Trust Company (“DTC”), then their entitlement to vote is determined as at 10 June 2021.</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Depending on whether your shares are registered in your name or whether your shares are held in a “street name” the arrangements are as follows: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Shareholder of Record: Shares Registered in Your Name</w:t>
      </w:r>
    </w:p>
    <w:p>
      <w:pPr>
        <w:spacing w:after="0" w:line="54" w:lineRule="exact"/>
        <w:rPr>
          <w:sz w:val="20"/>
          <w:szCs w:val="20"/>
          <w:color w:val="auto"/>
        </w:rPr>
      </w:pPr>
    </w:p>
    <w:p>
      <w:pPr>
        <w:jc w:val="both"/>
        <w:ind w:left="500"/>
        <w:spacing w:after="0" w:line="289" w:lineRule="auto"/>
        <w:rPr>
          <w:sz w:val="20"/>
          <w:szCs w:val="20"/>
          <w:color w:val="auto"/>
        </w:rPr>
      </w:pPr>
      <w:r>
        <w:rPr>
          <w:rFonts w:ascii="Arial" w:cs="Arial" w:eastAsia="Arial" w:hAnsi="Arial"/>
          <w:sz w:val="14"/>
          <w:szCs w:val="14"/>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the AGM. Shareholders are referred to the section below entitled “Attending the AGM” which sets out further detail on the situation in Ireland and restrictions around in person attendance at the ICON offices. ICON therefore strongly encourages voting via mail, telephone and Internet over in person attendance at the ICON AGM.</w:t>
      </w:r>
    </w:p>
    <w:p>
      <w:pPr>
        <w:spacing w:after="0" w:line="16" w:lineRule="exact"/>
        <w:rPr>
          <w:sz w:val="20"/>
          <w:szCs w:val="20"/>
          <w:color w:val="auto"/>
        </w:rPr>
      </w:pPr>
    </w:p>
    <w:p>
      <w:pPr>
        <w:jc w:val="both"/>
        <w:ind w:left="500"/>
        <w:spacing w:after="0" w:line="238" w:lineRule="auto"/>
        <w:rPr>
          <w:sz w:val="20"/>
          <w:szCs w:val="20"/>
          <w:color w:val="auto"/>
        </w:rPr>
      </w:pPr>
      <w:r>
        <w:rPr>
          <w:rFonts w:ascii="Arial" w:cs="Arial" w:eastAsia="Arial" w:hAnsi="Arial"/>
          <w:sz w:val="16"/>
          <w:szCs w:val="16"/>
          <w:color w:val="auto"/>
        </w:rPr>
        <w:t xml:space="preserve">As a shareholder of record, you may vote in person at the Annual General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of the Company in respect of the joint holding. The appointment of a proxy will not preclude a shareholder of record from attending, speaking, asking questions and voting at the Annual General Meeting should the shareholder subsequently wish to do so. A proxy need not be a member of the Company. If you wish to appoint more than one proxy or a person not listed on the form of proxy, please contact Investor Relations at 1-888-381-7923 or </w:t>
      </w:r>
      <w:r>
        <w:rPr>
          <w:rFonts w:ascii="Arial" w:cs="Arial" w:eastAsia="Arial" w:hAnsi="Arial"/>
          <w:sz w:val="16"/>
          <w:szCs w:val="16"/>
          <w:u w:val="single" w:color="auto"/>
          <w:color w:val="0000FF"/>
        </w:rPr>
        <w:t>IR@iconplc.com</w:t>
      </w:r>
      <w:r>
        <w:rPr>
          <w:rFonts w:ascii="Arial" w:cs="Arial" w:eastAsia="Arial" w:hAnsi="Arial"/>
          <w:sz w:val="16"/>
          <w:szCs w:val="16"/>
          <w:color w:val="000000"/>
        </w:rPr>
        <w:t>.</w:t>
      </w:r>
    </w:p>
    <w:p>
      <w:pPr>
        <w:spacing w:after="0" w:line="178" w:lineRule="exact"/>
        <w:rPr>
          <w:sz w:val="20"/>
          <w:szCs w:val="20"/>
          <w:color w:val="auto"/>
        </w:rPr>
      </w:pPr>
    </w:p>
    <w:p>
      <w:pPr>
        <w:jc w:val="both"/>
        <w:ind w:left="500"/>
        <w:spacing w:after="0" w:line="239" w:lineRule="auto"/>
        <w:rPr>
          <w:sz w:val="20"/>
          <w:szCs w:val="20"/>
          <w:color w:val="auto"/>
        </w:rPr>
      </w:pPr>
      <w:r>
        <w:rPr>
          <w:rFonts w:ascii="Arial" w:cs="Arial" w:eastAsia="Arial" w:hAnsi="Arial"/>
          <w:sz w:val="16"/>
          <w:szCs w:val="16"/>
          <w:color w:val="auto"/>
        </w:rPr>
        <w:t>A Form of Proxy is enclosed with this notice of Annual General Meeting for shareholders of record. To be effective, the Form of Proxy duly completed and executed, together with any authority under which it is executed, or a copy thereof certified, must be deposited at the registered office of the Company, so as to be received by 11.59pm ET on 19 July 2021 or if the Annual General Meeting is adjourned, on the day that falls before the day appointed for the adjourned meeting or (in the case of a poll taken otherwise than at or on the same day as the Annual General Meeting or adjourned meeting) the day before the taking of the poll at which it is to be used. Any alteration to the Form of Proxy must be initialled by the person who signs it.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139" w:right="319" w:bottom="1440" w:gutter="0" w:footer="0" w:header="0"/>
        </w:sectPr>
      </w:pPr>
    </w:p>
    <w:bookmarkStart w:id="13" w:name="page14"/>
    <w:bookmarkEnd w:id="13"/>
    <w:p>
      <w:pPr>
        <w:jc w:val="both"/>
        <w:ind w:left="500"/>
        <w:spacing w:after="0" w:line="238" w:lineRule="auto"/>
        <w:rPr>
          <w:sz w:val="20"/>
          <w:szCs w:val="20"/>
          <w:color w:val="auto"/>
        </w:rPr>
      </w:pPr>
      <w:r>
        <w:rPr>
          <w:rFonts w:ascii="Arial" w:cs="Arial" w:eastAsia="Arial" w:hAnsi="Arial"/>
          <w:sz w:val="16"/>
          <w:szCs w:val="16"/>
          <w:color w:val="auto"/>
        </w:rPr>
        <w:t xml:space="preserve">Alternatively, provided it is received by 11.59pm ET on 18 July 2021 or if the Annual General Meeting is adjourned, by 11.59pm ET on the day that falls 48 hours before the time appointed for the adjourned meeting or (in the case of a poll taken otherwise than at or on the same day as the Annual General Meeting or adjourned meeting) by 11.59pm ET on the day that falls 48 hours before the taking of the poll at which it is to be used, the appointment of a proxy may be submitted by telephone or electronically, subject to the applicable terms and conditions, using the phone number on the Form of Proxy and following the instructions provided or via the Internet by accessing Broadridge’s website </w:t>
      </w:r>
      <w:r>
        <w:rPr>
          <w:rFonts w:ascii="Arial" w:cs="Arial" w:eastAsia="Arial" w:hAnsi="Arial"/>
          <w:sz w:val="16"/>
          <w:szCs w:val="16"/>
          <w:b w:val="1"/>
          <w:bCs w:val="1"/>
          <w:color w:val="0000FF"/>
        </w:rPr>
        <w:t>www.proxyvote.com</w:t>
      </w:r>
      <w:r>
        <w:rPr>
          <w:rFonts w:ascii="Arial" w:cs="Arial" w:eastAsia="Arial" w:hAnsi="Arial"/>
          <w:sz w:val="16"/>
          <w:szCs w:val="16"/>
          <w:color w:val="auto"/>
        </w:rPr>
        <w:t xml:space="preserve"> and following the instructions on the website. The information you need to appoint your proxy by telephone or electronically is included at the top of your Form of Proxy.</w:t>
      </w:r>
    </w:p>
    <w:p>
      <w:pPr>
        <w:spacing w:after="0" w:line="178" w:lineRule="exact"/>
        <w:rPr>
          <w:sz w:val="20"/>
          <w:szCs w:val="20"/>
          <w:color w:val="auto"/>
        </w:rPr>
      </w:pPr>
    </w:p>
    <w:p>
      <w:pPr>
        <w:jc w:val="both"/>
        <w:ind w:left="500"/>
        <w:spacing w:after="0" w:line="251" w:lineRule="auto"/>
        <w:rPr>
          <w:sz w:val="20"/>
          <w:szCs w:val="20"/>
          <w:color w:val="auto"/>
        </w:rPr>
      </w:pPr>
      <w:r>
        <w:rPr>
          <w:rFonts w:ascii="Arial" w:cs="Arial" w:eastAsia="Arial" w:hAnsi="Arial"/>
          <w:sz w:val="16"/>
          <w:szCs w:val="16"/>
          <w:color w:val="auto"/>
        </w:rPr>
        <w:t>You need only vote in one way (so that, if you vote by Internet or by telephone, you need not return the Form of Proxy). In the case of a corporation, the Form of Proxy must be either executed under seal or signed on its behalf by a duly authorised officer or attorney.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Beneficial Owner: Shares Registered in the Name of a Broker, Bank or Other Agent</w:t>
      </w:r>
    </w:p>
    <w:p>
      <w:pPr>
        <w:spacing w:after="0" w:line="60" w:lineRule="exact"/>
        <w:rPr>
          <w:sz w:val="20"/>
          <w:szCs w:val="20"/>
          <w:color w:val="auto"/>
        </w:rPr>
      </w:pPr>
    </w:p>
    <w:p>
      <w:pPr>
        <w:jc w:val="both"/>
        <w:ind w:left="500"/>
        <w:spacing w:after="0"/>
        <w:rPr>
          <w:sz w:val="20"/>
          <w:szCs w:val="20"/>
          <w:color w:val="auto"/>
        </w:rPr>
      </w:pPr>
      <w:r>
        <w:rPr>
          <w:rFonts w:ascii="Arial" w:cs="Arial" w:eastAsia="Arial" w:hAnsi="Arial"/>
          <w:sz w:val="16"/>
          <w:szCs w:val="16"/>
          <w:color w:val="auto"/>
        </w:rPr>
        <w:t xml:space="preserve">If, as at 10 June 2021, your shares were not held in your name, but rather in an account at a brokerage firm, bank, dealer or other similar organisation, who in turn hold through The Depository Trust Company (“DTC”), then you are the beneficial owner of shares held in “street name” and these proxy materials are being forwarded to you by that organisation, together with instructions as to voting. </w:t>
      </w:r>
      <w:r>
        <w:rPr>
          <w:rFonts w:ascii="Arial" w:cs="Arial" w:eastAsia="Arial" w:hAnsi="Arial"/>
          <w:sz w:val="16"/>
          <w:szCs w:val="16"/>
          <w:b w:val="1"/>
          <w:bCs w:val="1"/>
          <w:color w:val="auto"/>
        </w:rPr>
        <w:t>You will need to carefully follow the instructions from your broker, bank or other agent or contact your</w:t>
      </w:r>
      <w:r>
        <w:rPr>
          <w:rFonts w:ascii="Arial" w:cs="Arial" w:eastAsia="Arial" w:hAnsi="Arial"/>
          <w:sz w:val="16"/>
          <w:szCs w:val="16"/>
          <w:color w:val="auto"/>
        </w:rPr>
        <w:t xml:space="preserve"> </w:t>
      </w:r>
      <w:r>
        <w:rPr>
          <w:rFonts w:ascii="Arial" w:cs="Arial" w:eastAsia="Arial" w:hAnsi="Arial"/>
          <w:sz w:val="16"/>
          <w:szCs w:val="16"/>
          <w:b w:val="1"/>
          <w:bCs w:val="1"/>
          <w:color w:val="auto"/>
        </w:rPr>
        <w:t>broker, bank or other agent if you have any queries.</w:t>
      </w:r>
    </w:p>
    <w:p>
      <w:pPr>
        <w:spacing w:after="0" w:line="240" w:lineRule="exact"/>
        <w:rPr>
          <w:sz w:val="20"/>
          <w:szCs w:val="20"/>
          <w:color w:val="auto"/>
        </w:rPr>
      </w:pPr>
    </w:p>
    <w:p>
      <w:pPr>
        <w:jc w:val="both"/>
        <w:ind w:left="500"/>
        <w:spacing w:after="0" w:line="243" w:lineRule="auto"/>
        <w:rPr>
          <w:sz w:val="20"/>
          <w:szCs w:val="20"/>
          <w:color w:val="auto"/>
        </w:rPr>
      </w:pPr>
      <w:r>
        <w:rPr>
          <w:rFonts w:ascii="Arial" w:cs="Arial" w:eastAsia="Arial" w:hAnsi="Arial"/>
          <w:sz w:val="16"/>
          <w:szCs w:val="16"/>
          <w:color w:val="auto"/>
        </w:rPr>
        <w:t>As a beneficial owner, you have the right to direct your broker or other agent on how to vote the shares in your account as per the instructions enclosed by your broker. You are also invited to attend the Annual General Meeting. However, since you are not the shareholder of record, you may not vote your shares in person at the Annual General Meeting unless you contact your broker and obtain a valid proxy card from your broker or other agent.</w:t>
      </w:r>
    </w:p>
    <w:p>
      <w:pPr>
        <w:spacing w:after="0" w:line="237" w:lineRule="exact"/>
        <w:rPr>
          <w:sz w:val="20"/>
          <w:szCs w:val="20"/>
          <w:color w:val="auto"/>
        </w:rPr>
      </w:pPr>
    </w:p>
    <w:p>
      <w:pPr>
        <w:jc w:val="both"/>
        <w:ind w:left="500"/>
        <w:spacing w:after="0" w:line="243" w:lineRule="auto"/>
        <w:rPr>
          <w:sz w:val="20"/>
          <w:szCs w:val="20"/>
          <w:color w:val="auto"/>
        </w:rPr>
      </w:pPr>
      <w:r>
        <w:rPr>
          <w:rFonts w:ascii="Arial" w:cs="Arial" w:eastAsia="Arial" w:hAnsi="Arial"/>
          <w:sz w:val="16"/>
          <w:szCs w:val="16"/>
          <w:color w:val="auto"/>
        </w:rPr>
        <w:t>Therefore as a beneficial owner of shares registered in the name of your broker, bank or other agent, who in turn hold the shares through DTC, you should have received a voting instruction card and voting instructions with these proxy materials from that organisation rather than from us. Simply follow the instructions on the voting instruction card provided by your broker, bank or other agent to ensure that your vote is counted.</w:t>
      </w:r>
    </w:p>
    <w:p>
      <w:pPr>
        <w:spacing w:after="0" w:line="220" w:lineRule="exact"/>
        <w:rPr>
          <w:sz w:val="20"/>
          <w:szCs w:val="20"/>
          <w:color w:val="auto"/>
        </w:rPr>
      </w:pPr>
    </w:p>
    <w:p>
      <w:pPr>
        <w:ind w:left="300" w:hanging="295"/>
        <w:spacing w:after="0"/>
        <w:tabs>
          <w:tab w:leader="none" w:pos="3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Attending the AGM - Special Precautions Due to COVID-19 Concerns</w:t>
      </w:r>
    </w:p>
    <w:p>
      <w:pPr>
        <w:spacing w:after="0" w:line="193" w:lineRule="exact"/>
        <w:rPr>
          <w:sz w:val="20"/>
          <w:szCs w:val="20"/>
          <w:color w:val="auto"/>
        </w:rPr>
      </w:pPr>
    </w:p>
    <w:p>
      <w:pPr>
        <w:jc w:val="both"/>
        <w:ind w:left="500"/>
        <w:spacing w:after="0" w:line="243" w:lineRule="auto"/>
        <w:rPr>
          <w:sz w:val="20"/>
          <w:szCs w:val="20"/>
          <w:color w:val="auto"/>
        </w:rPr>
      </w:pPr>
      <w:r>
        <w:rPr>
          <w:rFonts w:ascii="Arial" w:cs="Arial" w:eastAsia="Arial" w:hAnsi="Arial"/>
          <w:sz w:val="16"/>
          <w:szCs w:val="16"/>
          <w:color w:val="auto"/>
        </w:rPr>
        <w:t>You are entitled to attend the AGM only if you are a shareholder of record of ICON at the close of business on 10 June, 2021 (the record date for the AGM) or hold a proxy for such a shareholder. Shares held in “street name” may be voted in person by you only if you obtain a signed legal proxy from your bank, broker or other nominee giving you the right to vote the shares at the AGM.</w:t>
      </w:r>
    </w:p>
    <w:p>
      <w:pPr>
        <w:spacing w:after="0" w:line="173" w:lineRule="exact"/>
        <w:rPr>
          <w:sz w:val="20"/>
          <w:szCs w:val="20"/>
          <w:color w:val="auto"/>
        </w:rPr>
      </w:pPr>
    </w:p>
    <w:p>
      <w:pPr>
        <w:jc w:val="both"/>
        <w:ind w:left="500"/>
        <w:spacing w:after="0" w:line="243" w:lineRule="auto"/>
        <w:rPr>
          <w:sz w:val="20"/>
          <w:szCs w:val="20"/>
          <w:color w:val="auto"/>
        </w:rPr>
      </w:pPr>
      <w:r>
        <w:rPr>
          <w:rFonts w:ascii="Arial" w:cs="Arial" w:eastAsia="Arial" w:hAnsi="Arial"/>
          <w:sz w:val="16"/>
          <w:szCs w:val="16"/>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ICON therefore strongly encourages voting via mail, telephone and Internet over in person attendance at the ICON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145" w:right="319" w:bottom="1440" w:gutter="0" w:footer="0" w:header="0"/>
        </w:sectPr>
      </w:pPr>
    </w:p>
    <w:bookmarkStart w:id="14" w:name="page15"/>
    <w:bookmarkEnd w:id="14"/>
    <w:p>
      <w:pPr>
        <w:jc w:val="both"/>
        <w:ind w:left="500"/>
        <w:spacing w:after="0" w:line="239" w:lineRule="auto"/>
        <w:rPr>
          <w:sz w:val="20"/>
          <w:szCs w:val="20"/>
          <w:color w:val="auto"/>
        </w:rPr>
      </w:pPr>
      <w:r>
        <w:rPr>
          <w:rFonts w:ascii="Arial" w:cs="Arial" w:eastAsia="Arial" w:hAnsi="Arial"/>
          <w:sz w:val="16"/>
          <w:szCs w:val="16"/>
          <w:color w:val="auto"/>
        </w:rPr>
        <w:t>Based on the latest available public health guidance, it is expected the AGM will proceed under very constrained circumstances given current restrictions on public gatherings in Ireland. Shareholders are strongly encouraged not to attend the meeting in person and instead to vote their shares by proxy as the preferred method of fully and safely exercising their rights. Personal attendance at the AGM may present a health risk to shareholders and others and entry may be refused. ICON advises that shareholders who are experiencing any COVID-19 symptoms or anyone who has been in contact with any person experiencing any COVID-19 symptoms should not attend the AGM in person.</w:t>
      </w:r>
    </w:p>
    <w:p>
      <w:pPr>
        <w:spacing w:after="0" w:line="177" w:lineRule="exact"/>
        <w:rPr>
          <w:sz w:val="20"/>
          <w:szCs w:val="20"/>
          <w:color w:val="auto"/>
        </w:rPr>
      </w:pPr>
    </w:p>
    <w:p>
      <w:pPr>
        <w:jc w:val="both"/>
        <w:ind w:left="500"/>
        <w:spacing w:after="0" w:line="251" w:lineRule="auto"/>
        <w:rPr>
          <w:sz w:val="20"/>
          <w:szCs w:val="20"/>
          <w:color w:val="auto"/>
        </w:rPr>
      </w:pPr>
      <w:r>
        <w:rPr>
          <w:rFonts w:ascii="Arial" w:cs="Arial" w:eastAsia="Arial" w:hAnsi="Arial"/>
          <w:sz w:val="16"/>
          <w:szCs w:val="16"/>
          <w:color w:val="auto"/>
        </w:rPr>
        <w:t>ICON may take additional procedures or limitations applicable to meeting attendees, including restrictions on seating arrangements, health screening requirements and other reasonable or required measures in order to enter the building.</w:t>
      </w:r>
    </w:p>
    <w:p>
      <w:pPr>
        <w:spacing w:after="0" w:line="167" w:lineRule="exact"/>
        <w:rPr>
          <w:sz w:val="20"/>
          <w:szCs w:val="20"/>
          <w:color w:val="auto"/>
        </w:rPr>
      </w:pPr>
    </w:p>
    <w:p>
      <w:pPr>
        <w:jc w:val="both"/>
        <w:ind w:left="500"/>
        <w:spacing w:after="0" w:line="250" w:lineRule="auto"/>
        <w:rPr>
          <w:sz w:val="20"/>
          <w:szCs w:val="20"/>
          <w:color w:val="auto"/>
        </w:rPr>
      </w:pPr>
      <w:r>
        <w:rPr>
          <w:rFonts w:ascii="Arial" w:cs="Arial" w:eastAsia="Arial" w:hAnsi="Arial"/>
          <w:sz w:val="16"/>
          <w:szCs w:val="16"/>
          <w:color w:val="auto"/>
        </w:rPr>
        <w:t xml:space="preserve">In the event that a change of venue becomes necessary due to public health recommendations regarding containment of COVID-19, which may include the closure of or restrictions on access to the meeting venue, ICON will promptly communicate this to shareholders by an announcement in a press release, on the investor relations page of </w:t>
      </w:r>
      <w:r>
        <w:rPr>
          <w:rFonts w:ascii="Arial" w:cs="Arial" w:eastAsia="Arial" w:hAnsi="Arial"/>
          <w:sz w:val="16"/>
          <w:szCs w:val="16"/>
          <w:u w:val="single" w:color="auto"/>
          <w:color w:val="0000FF"/>
        </w:rPr>
        <w:t>https://investor.iconplc.com/</w:t>
      </w:r>
      <w:r>
        <w:rPr>
          <w:rFonts w:ascii="Arial" w:cs="Arial" w:eastAsia="Arial" w:hAnsi="Arial"/>
          <w:sz w:val="16"/>
          <w:szCs w:val="16"/>
          <w:color w:val="0000FF"/>
        </w:rPr>
        <w:t xml:space="preserve"> </w:t>
      </w:r>
      <w:r>
        <w:rPr>
          <w:rFonts w:ascii="Arial" w:cs="Arial" w:eastAsia="Arial" w:hAnsi="Arial"/>
          <w:sz w:val="15"/>
          <w:szCs w:val="15"/>
          <w:color w:val="000000"/>
        </w:rPr>
        <w:t>and a filing with the U.S. Securities and Exchange Commission. ICON advises shareholders to monitor the page regularly, as circumstances</w:t>
      </w:r>
      <w:r>
        <w:rPr>
          <w:rFonts w:ascii="Arial" w:cs="Arial" w:eastAsia="Arial" w:hAnsi="Arial"/>
          <w:sz w:val="16"/>
          <w:szCs w:val="16"/>
          <w:color w:val="0000FF"/>
        </w:rPr>
        <w:t xml:space="preserve"> </w:t>
      </w:r>
      <w:r>
        <w:rPr>
          <w:rFonts w:ascii="Arial" w:cs="Arial" w:eastAsia="Arial" w:hAnsi="Arial"/>
          <w:sz w:val="15"/>
          <w:szCs w:val="15"/>
          <w:color w:val="000000"/>
        </w:rPr>
        <w:t>may change on short notice. We recommend that shareholders keep up-to-date with the latest public health guidance regarding travel, self-isolation and health and safety precautions.</w:t>
      </w:r>
    </w:p>
    <w:p>
      <w:pPr>
        <w:spacing w:after="0" w:line="162"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How many votes do you have?</w:t>
      </w:r>
    </w:p>
    <w:p>
      <w:pPr>
        <w:spacing w:after="0" w:line="14" w:lineRule="exact"/>
        <w:rPr>
          <w:sz w:val="20"/>
          <w:szCs w:val="20"/>
          <w:color w:val="auto"/>
        </w:rPr>
      </w:pPr>
    </w:p>
    <w:p>
      <w:pPr>
        <w:jc w:val="both"/>
        <w:ind w:left="500"/>
        <w:spacing w:after="0" w:line="280" w:lineRule="auto"/>
        <w:rPr>
          <w:sz w:val="20"/>
          <w:szCs w:val="20"/>
          <w:color w:val="auto"/>
        </w:rPr>
      </w:pPr>
      <w:r>
        <w:rPr>
          <w:rFonts w:ascii="Arial" w:cs="Arial" w:eastAsia="Arial" w:hAnsi="Arial"/>
          <w:sz w:val="14"/>
          <w:szCs w:val="14"/>
          <w:color w:val="auto"/>
        </w:rPr>
        <w:t>The total number of issued ordinary shares on the record date, 10 June 2021, was 52,958,063.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14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Broker Voting</w:t>
      </w:r>
    </w:p>
    <w:p>
      <w:pPr>
        <w:spacing w:after="0" w:line="14" w:lineRule="exact"/>
        <w:rPr>
          <w:sz w:val="20"/>
          <w:szCs w:val="20"/>
          <w:color w:val="auto"/>
        </w:rPr>
      </w:pPr>
    </w:p>
    <w:p>
      <w:pPr>
        <w:jc w:val="both"/>
        <w:ind w:left="520"/>
        <w:spacing w:after="0" w:line="237" w:lineRule="auto"/>
        <w:rPr>
          <w:sz w:val="20"/>
          <w:szCs w:val="20"/>
          <w:color w:val="auto"/>
        </w:rPr>
      </w:pPr>
      <w:r>
        <w:rPr>
          <w:rFonts w:ascii="Arial" w:cs="Arial" w:eastAsia="Arial" w:hAnsi="Arial"/>
          <w:sz w:val="16"/>
          <w:szCs w:val="16"/>
          <w:color w:val="auto"/>
        </w:rPr>
        <w:t xml:space="preserve">If your shares are held by a broker on your behalf (that is, in “street name”), and you do not instruct the broker as to how to vote these shares, the broker may not exercise discretion to vote for or against any of the proposals. This would be a “broker non-vote” and these shares will not be counted as having been voted on the proposals. </w:t>
      </w:r>
      <w:r>
        <w:rPr>
          <w:rFonts w:ascii="Arial" w:cs="Arial" w:eastAsia="Arial" w:hAnsi="Arial"/>
          <w:sz w:val="16"/>
          <w:szCs w:val="16"/>
          <w:b w:val="1"/>
          <w:bCs w:val="1"/>
          <w:color w:val="auto"/>
        </w:rPr>
        <w:t>Please</w:t>
      </w:r>
      <w:r>
        <w:rPr>
          <w:rFonts w:ascii="Arial" w:cs="Arial" w:eastAsia="Arial" w:hAnsi="Arial"/>
          <w:sz w:val="16"/>
          <w:szCs w:val="16"/>
          <w:color w:val="auto"/>
        </w:rPr>
        <w:t xml:space="preserve"> </w:t>
      </w:r>
      <w:r>
        <w:rPr>
          <w:rFonts w:ascii="Arial" w:cs="Arial" w:eastAsia="Arial" w:hAnsi="Arial"/>
          <w:sz w:val="16"/>
          <w:szCs w:val="16"/>
          <w:b w:val="1"/>
          <w:bCs w:val="1"/>
          <w:color w:val="auto"/>
        </w:rPr>
        <w:t>instruct your bank or broker so your vote can be counted</w:t>
      </w:r>
      <w:r>
        <w:rPr>
          <w:rFonts w:ascii="Arial" w:cs="Arial" w:eastAsia="Arial" w:hAnsi="Arial"/>
          <w:sz w:val="16"/>
          <w:szCs w:val="16"/>
          <w:color w:val="auto"/>
        </w:rPr>
        <w:t>.</w:t>
      </w:r>
    </w:p>
    <w:p>
      <w:pPr>
        <w:spacing w:after="0" w:line="169" w:lineRule="exact"/>
        <w:rPr>
          <w:sz w:val="20"/>
          <w:szCs w:val="20"/>
          <w:color w:val="auto"/>
        </w:rPr>
      </w:pPr>
    </w:p>
    <w:p>
      <w:pPr>
        <w:ind w:left="500" w:right="7140" w:hanging="495"/>
        <w:spacing w:after="0" w:line="304" w:lineRule="auto"/>
        <w:tabs>
          <w:tab w:leader="none" w:pos="271"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Can I change my vote after submitting my proxy? </w:t>
      </w:r>
      <w:r>
        <w:rPr>
          <w:rFonts w:ascii="Arial" w:cs="Arial" w:eastAsia="Arial" w:hAnsi="Arial"/>
          <w:sz w:val="13"/>
          <w:szCs w:val="13"/>
          <w:b w:val="1"/>
          <w:bCs w:val="1"/>
          <w:i w:val="1"/>
          <w:iCs w:val="1"/>
          <w:color w:val="auto"/>
        </w:rPr>
        <w:t>Shareholder of Record: Shares Registered in Your Name</w:t>
      </w:r>
    </w:p>
    <w:p>
      <w:pPr>
        <w:ind w:left="500"/>
        <w:spacing w:after="0" w:line="238" w:lineRule="auto"/>
        <w:rPr>
          <w:rFonts w:ascii="Arial" w:cs="Arial" w:eastAsia="Arial" w:hAnsi="Arial"/>
          <w:sz w:val="13"/>
          <w:szCs w:val="13"/>
          <w:b w:val="1"/>
          <w:bCs w:val="1"/>
          <w:color w:val="auto"/>
        </w:rPr>
      </w:pPr>
      <w:r>
        <w:rPr>
          <w:rFonts w:ascii="Arial" w:cs="Arial" w:eastAsia="Arial" w:hAnsi="Arial"/>
          <w:sz w:val="16"/>
          <w:szCs w:val="16"/>
          <w:color w:val="auto"/>
        </w:rPr>
        <w:t>Yes. You can revoke your proxy at any time before the final vote at the Annual General Meeting. If you are the record holder of your shares, you may revoke your proxy in any one of three ways:</w:t>
      </w:r>
    </w:p>
    <w:p>
      <w:pPr>
        <w:spacing w:after="0" w:line="47" w:lineRule="exact"/>
        <w:rPr>
          <w:rFonts w:ascii="Arial" w:cs="Arial" w:eastAsia="Arial" w:hAnsi="Arial"/>
          <w:sz w:val="13"/>
          <w:szCs w:val="13"/>
          <w:b w:val="1"/>
          <w:bCs w:val="1"/>
          <w:color w:val="auto"/>
        </w:rPr>
      </w:pPr>
    </w:p>
    <w:p>
      <w:pPr>
        <w:ind w:left="1020" w:hanging="261"/>
        <w:spacing w:after="0" w:line="321" w:lineRule="auto"/>
        <w:tabs>
          <w:tab w:leader="none" w:pos="1011" w:val="left"/>
        </w:tabs>
        <w:numPr>
          <w:ilvl w:val="1"/>
          <w:numId w:val="12"/>
        </w:numPr>
        <w:rPr>
          <w:rFonts w:ascii="Arial" w:cs="Arial" w:eastAsia="Arial" w:hAnsi="Arial"/>
          <w:sz w:val="14"/>
          <w:szCs w:val="14"/>
          <w:color w:val="auto"/>
        </w:rPr>
      </w:pPr>
      <w:r>
        <w:rPr>
          <w:rFonts w:ascii="Arial" w:cs="Arial" w:eastAsia="Arial" w:hAnsi="Arial"/>
          <w:sz w:val="14"/>
          <w:szCs w:val="14"/>
          <w:color w:val="auto"/>
        </w:rPr>
        <w:t>You may submit another properly completed proxy with a later date. Your revised proxy must be received before the commencement of the Annual General Meeting at 12.00pm Dublin time on 20 July 2021 or if the Annual General Meeting is adjourned, before the commencement of the adjourned meeting;</w:t>
      </w:r>
    </w:p>
    <w:p>
      <w:pPr>
        <w:spacing w:after="0" w:line="121" w:lineRule="exact"/>
        <w:rPr>
          <w:rFonts w:ascii="Arial" w:cs="Arial" w:eastAsia="Arial" w:hAnsi="Arial"/>
          <w:sz w:val="14"/>
          <w:szCs w:val="14"/>
          <w:color w:val="auto"/>
        </w:rPr>
      </w:pPr>
    </w:p>
    <w:p>
      <w:pPr>
        <w:jc w:val="both"/>
        <w:ind w:left="1020" w:hanging="261"/>
        <w:spacing w:after="0" w:line="243" w:lineRule="auto"/>
        <w:tabs>
          <w:tab w:leader="none" w:pos="1011" w:val="left"/>
        </w:tabs>
        <w:numPr>
          <w:ilvl w:val="1"/>
          <w:numId w:val="12"/>
        </w:numPr>
        <w:rPr>
          <w:rFonts w:ascii="Arial" w:cs="Arial" w:eastAsia="Arial" w:hAnsi="Arial"/>
          <w:sz w:val="16"/>
          <w:szCs w:val="16"/>
          <w:color w:val="auto"/>
        </w:rPr>
      </w:pPr>
      <w:r>
        <w:rPr>
          <w:rFonts w:ascii="Arial" w:cs="Arial" w:eastAsia="Arial" w:hAnsi="Arial"/>
          <w:sz w:val="16"/>
          <w:szCs w:val="16"/>
          <w:color w:val="auto"/>
        </w:rPr>
        <w:t>You may send a written notice that you are revoking your proxy to Erina Fox, Deputy Company Secretary, ICON plc at the registered office of the Company (being South County Business Park, Leopardstown, Dublin 18, Ireland) or by email to IR@iconplc.com. Your notice must be received before the commencement of the Annual General Meeting at</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145" w:right="319" w:bottom="1440" w:gutter="0" w:footer="0" w:header="0"/>
        </w:sectPr>
      </w:pPr>
    </w:p>
    <w:bookmarkStart w:id="15" w:name="page16"/>
    <w:bookmarkEnd w:id="15"/>
    <w:p>
      <w:pPr>
        <w:ind w:left="1020"/>
        <w:spacing w:after="0"/>
        <w:rPr>
          <w:sz w:val="20"/>
          <w:szCs w:val="20"/>
          <w:color w:val="auto"/>
        </w:rPr>
      </w:pPr>
      <w:r>
        <w:rPr>
          <w:rFonts w:ascii="Arial" w:cs="Arial" w:eastAsia="Arial" w:hAnsi="Arial"/>
          <w:sz w:val="16"/>
          <w:szCs w:val="16"/>
          <w:color w:val="auto"/>
        </w:rPr>
        <w:t>12.00pm Dublin time on 20 July 2021 or if the Annual General Meeting is adjourned, before the commencement of the adjourned meeting; or</w:t>
      </w:r>
    </w:p>
    <w:p>
      <w:pPr>
        <w:spacing w:after="0" w:line="187" w:lineRule="exact"/>
        <w:rPr>
          <w:sz w:val="20"/>
          <w:szCs w:val="20"/>
          <w:color w:val="auto"/>
        </w:rPr>
      </w:pPr>
    </w:p>
    <w:p>
      <w:pPr>
        <w:ind w:left="1000" w:hanging="241"/>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 may attend the Annual General Meeting and vote in person.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Beneficial Owner: Shares Registered in the Name of a Broker, Bank or Other Agent</w:t>
      </w:r>
    </w:p>
    <w:p>
      <w:pPr>
        <w:spacing w:after="0" w:line="8" w:lineRule="exact"/>
        <w:rPr>
          <w:sz w:val="20"/>
          <w:szCs w:val="20"/>
          <w:color w:val="auto"/>
        </w:rPr>
      </w:pPr>
    </w:p>
    <w:p>
      <w:pPr>
        <w:ind w:left="520"/>
        <w:spacing w:after="0" w:line="238" w:lineRule="auto"/>
        <w:rPr>
          <w:sz w:val="20"/>
          <w:szCs w:val="20"/>
          <w:color w:val="auto"/>
        </w:rPr>
      </w:pPr>
      <w:r>
        <w:rPr>
          <w:rFonts w:ascii="Arial" w:cs="Arial" w:eastAsia="Arial" w:hAnsi="Arial"/>
          <w:sz w:val="16"/>
          <w:szCs w:val="16"/>
          <w:color w:val="auto"/>
        </w:rPr>
        <w:t>If your shares are held by your broker, bank or other agent, you should follow the instructions provided by them. Please contact your broker, bank or other agent if you have any queries.</w:t>
      </w:r>
    </w:p>
    <w:p>
      <w:pPr>
        <w:spacing w:after="0" w:line="169"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3"/>
          <w:szCs w:val="13"/>
          <w:b w:val="1"/>
          <w:bCs w:val="1"/>
          <w:color w:val="auto"/>
        </w:rPr>
        <w:t>What does it mean if I receive more than one set of materials?</w:t>
      </w:r>
    </w:p>
    <w:p>
      <w:pPr>
        <w:spacing w:after="0" w:line="14" w:lineRule="exact"/>
        <w:rPr>
          <w:sz w:val="20"/>
          <w:szCs w:val="20"/>
          <w:color w:val="auto"/>
        </w:rPr>
      </w:pPr>
    </w:p>
    <w:p>
      <w:pPr>
        <w:ind w:left="520"/>
        <w:spacing w:after="0" w:line="304" w:lineRule="auto"/>
        <w:rPr>
          <w:sz w:val="20"/>
          <w:szCs w:val="20"/>
          <w:color w:val="auto"/>
        </w:rPr>
      </w:pPr>
      <w:r>
        <w:rPr>
          <w:rFonts w:ascii="Arial" w:cs="Arial" w:eastAsia="Arial" w:hAnsi="Arial"/>
          <w:sz w:val="14"/>
          <w:szCs w:val="14"/>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13</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2021</w:t>
      </w:r>
    </w:p>
    <w:p>
      <w:pPr>
        <w:sectPr>
          <w:pgSz w:w="11900" w:h="16838" w:orient="portrait"/>
          <w:cols w:equalWidth="0" w:num="1">
            <w:col w:w="11280"/>
          </w:cols>
          <w:pgMar w:left="300" w:top="1145" w:right="319" w:bottom="1440"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ICON plc and Subsidiaries</w:t>
      </w:r>
    </w:p>
    <w:p>
      <w:pPr>
        <w:spacing w:after="0" w:line="39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Consolidated Financial Statements</w:t>
      </w:r>
    </w:p>
    <w:p>
      <w:pPr>
        <w:spacing w:after="0" w:line="3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Year ended 31 December 2020</w:t>
      </w:r>
    </w:p>
    <w:p>
      <w:pPr>
        <w:spacing w:after="0" w:line="200" w:lineRule="exact"/>
        <w:rPr>
          <w:sz w:val="20"/>
          <w:szCs w:val="20"/>
          <w:color w:val="auto"/>
        </w:rPr>
      </w:pPr>
    </w:p>
    <w:p>
      <w:pPr>
        <w:spacing w:after="0" w:line="375" w:lineRule="exact"/>
        <w:rPr>
          <w:sz w:val="20"/>
          <w:szCs w:val="20"/>
          <w:color w:val="auto"/>
        </w:rPr>
      </w:pPr>
    </w:p>
    <w:p>
      <w:pPr>
        <w:ind w:left="400"/>
        <w:spacing w:after="0"/>
        <w:tabs>
          <w:tab w:leader="none" w:pos="1860" w:val="left"/>
        </w:tabs>
        <w:rPr>
          <w:sz w:val="20"/>
          <w:szCs w:val="20"/>
          <w:color w:val="auto"/>
        </w:rPr>
      </w:pPr>
      <w:r>
        <w:rPr>
          <w:rFonts w:ascii="Arial" w:cs="Arial" w:eastAsia="Arial" w:hAnsi="Arial"/>
          <w:sz w:val="16"/>
          <w:szCs w:val="16"/>
          <w:i w:val="1"/>
          <w:iCs w:val="1"/>
          <w:color w:val="auto"/>
        </w:rPr>
        <w:t>Registered number</w:t>
      </w:r>
      <w:r>
        <w:rPr>
          <w:sz w:val="20"/>
          <w:szCs w:val="20"/>
          <w:color w:val="auto"/>
        </w:rPr>
        <w:tab/>
      </w:r>
      <w:r>
        <w:rPr>
          <w:rFonts w:ascii="Arial" w:cs="Arial" w:eastAsia="Arial" w:hAnsi="Arial"/>
          <w:sz w:val="14"/>
          <w:szCs w:val="14"/>
          <w:i w:val="1"/>
          <w:iCs w:val="1"/>
          <w:color w:val="auto"/>
        </w:rPr>
        <w:t>145835</w:t>
      </w:r>
    </w:p>
    <w:p>
      <w:pPr>
        <w:sectPr>
          <w:pgSz w:w="11900" w:h="16838" w:orient="portrait"/>
          <w:cols w:equalWidth="0" w:num="1">
            <w:col w:w="10140"/>
          </w:cols>
          <w:pgMar w:left="1440" w:top="1440"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Directors’ Report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340" w:type="dxa"/>
            <w:vAlign w:val="bottom"/>
          </w:tcPr>
          <w:p>
            <w:pPr>
              <w:spacing w:after="0"/>
              <w:rPr>
                <w:sz w:val="20"/>
                <w:szCs w:val="20"/>
                <w:color w:val="auto"/>
              </w:rPr>
            </w:pPr>
            <w:r>
              <w:rPr>
                <w:rFonts w:ascii="Arial" w:cs="Arial" w:eastAsia="Arial" w:hAnsi="Arial"/>
                <w:sz w:val="13"/>
                <w:szCs w:val="13"/>
                <w:i w:val="1"/>
                <w:iCs w:val="1"/>
                <w:color w:val="auto"/>
              </w:rPr>
              <w:t>Contents</w:t>
            </w:r>
          </w:p>
        </w:tc>
        <w:tc>
          <w:tcPr>
            <w:tcW w:w="2900" w:type="dxa"/>
            <w:vAlign w:val="bottom"/>
          </w:tcPr>
          <w:p>
            <w:pPr>
              <w:jc w:val="right"/>
              <w:spacing w:after="0"/>
              <w:rPr>
                <w:sz w:val="20"/>
                <w:szCs w:val="20"/>
                <w:color w:val="auto"/>
              </w:rPr>
            </w:pPr>
            <w:r>
              <w:rPr>
                <w:rFonts w:ascii="Arial" w:cs="Arial" w:eastAsia="Arial" w:hAnsi="Arial"/>
                <w:sz w:val="13"/>
                <w:szCs w:val="13"/>
                <w:i w:val="1"/>
                <w:iCs w:val="1"/>
                <w:color w:val="auto"/>
              </w:rPr>
              <w:t>Page</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Directors’ and Other Information</w:t>
            </w:r>
          </w:p>
        </w:tc>
        <w:tc>
          <w:tcPr>
            <w:tcW w:w="2900" w:type="dxa"/>
            <w:vAlign w:val="bottom"/>
          </w:tcPr>
          <w:p>
            <w:pPr>
              <w:jc w:val="right"/>
              <w:spacing w:after="0"/>
              <w:rPr>
                <w:rFonts w:ascii="Arial" w:cs="Arial" w:eastAsia="Arial" w:hAnsi="Arial"/>
                <w:sz w:val="13"/>
                <w:szCs w:val="13"/>
                <w:color w:val="0000FF"/>
              </w:rPr>
            </w:pPr>
            <w:hyperlink w:anchor="page21">
              <w:r>
                <w:rPr>
                  <w:rFonts w:ascii="Arial" w:cs="Arial" w:eastAsia="Arial" w:hAnsi="Arial"/>
                  <w:sz w:val="13"/>
                  <w:szCs w:val="13"/>
                  <w:color w:val="0000FF"/>
                </w:rPr>
                <w:t>2</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Directors’ Report</w:t>
            </w:r>
          </w:p>
        </w:tc>
        <w:tc>
          <w:tcPr>
            <w:tcW w:w="2900" w:type="dxa"/>
            <w:vAlign w:val="bottom"/>
          </w:tcPr>
          <w:p>
            <w:pPr>
              <w:jc w:val="right"/>
              <w:spacing w:after="0"/>
              <w:rPr>
                <w:rFonts w:ascii="Arial" w:cs="Arial" w:eastAsia="Arial" w:hAnsi="Arial"/>
                <w:sz w:val="13"/>
                <w:szCs w:val="13"/>
                <w:color w:val="0000FF"/>
              </w:rPr>
            </w:pPr>
            <w:hyperlink w:anchor="page22">
              <w:r>
                <w:rPr>
                  <w:rFonts w:ascii="Arial" w:cs="Arial" w:eastAsia="Arial" w:hAnsi="Arial"/>
                  <w:sz w:val="13"/>
                  <w:szCs w:val="13"/>
                  <w:color w:val="0000FF"/>
                </w:rPr>
                <w:t>3</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Statement of Directors’ Responsibilities in respect of the Directors’ report and the financial statements</w:t>
            </w:r>
          </w:p>
        </w:tc>
        <w:tc>
          <w:tcPr>
            <w:tcW w:w="2900" w:type="dxa"/>
            <w:vAlign w:val="bottom"/>
          </w:tcPr>
          <w:p>
            <w:pPr>
              <w:jc w:val="right"/>
              <w:spacing w:after="0"/>
              <w:rPr>
                <w:rFonts w:ascii="Arial" w:cs="Arial" w:eastAsia="Arial" w:hAnsi="Arial"/>
                <w:sz w:val="13"/>
                <w:szCs w:val="13"/>
                <w:color w:val="0000FF"/>
              </w:rPr>
            </w:pPr>
            <w:hyperlink w:anchor="page45">
              <w:r>
                <w:rPr>
                  <w:rFonts w:ascii="Arial" w:cs="Arial" w:eastAsia="Arial" w:hAnsi="Arial"/>
                  <w:sz w:val="13"/>
                  <w:szCs w:val="13"/>
                  <w:color w:val="0000FF"/>
                </w:rPr>
                <w:t>26</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Independent Auditor’s Report to the members of ICON plc</w:t>
            </w:r>
          </w:p>
        </w:tc>
        <w:tc>
          <w:tcPr>
            <w:tcW w:w="2900" w:type="dxa"/>
            <w:vAlign w:val="bottom"/>
          </w:tcPr>
          <w:p>
            <w:pPr>
              <w:jc w:val="right"/>
              <w:spacing w:after="0"/>
              <w:rPr>
                <w:rFonts w:ascii="Arial" w:cs="Arial" w:eastAsia="Arial" w:hAnsi="Arial"/>
                <w:sz w:val="13"/>
                <w:szCs w:val="13"/>
                <w:color w:val="0000FF"/>
              </w:rPr>
            </w:pPr>
            <w:hyperlink w:anchor="page46">
              <w:r>
                <w:rPr>
                  <w:rFonts w:ascii="Arial" w:cs="Arial" w:eastAsia="Arial" w:hAnsi="Arial"/>
                  <w:sz w:val="13"/>
                  <w:szCs w:val="13"/>
                  <w:color w:val="0000FF"/>
                </w:rPr>
                <w:t>27</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Profit and Loss</w:t>
            </w:r>
          </w:p>
        </w:tc>
        <w:tc>
          <w:tcPr>
            <w:tcW w:w="2900" w:type="dxa"/>
            <w:vAlign w:val="bottom"/>
          </w:tcPr>
          <w:p>
            <w:pPr>
              <w:jc w:val="right"/>
              <w:spacing w:after="0"/>
              <w:rPr>
                <w:rFonts w:ascii="Arial" w:cs="Arial" w:eastAsia="Arial" w:hAnsi="Arial"/>
                <w:sz w:val="13"/>
                <w:szCs w:val="13"/>
                <w:color w:val="0000FF"/>
              </w:rPr>
            </w:pPr>
            <w:hyperlink w:anchor="page50">
              <w:r>
                <w:rPr>
                  <w:rFonts w:ascii="Arial" w:cs="Arial" w:eastAsia="Arial" w:hAnsi="Arial"/>
                  <w:sz w:val="13"/>
                  <w:szCs w:val="13"/>
                  <w:color w:val="0000FF"/>
                </w:rPr>
                <w:t>31</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Comprehensive Income</w:t>
            </w:r>
          </w:p>
        </w:tc>
        <w:tc>
          <w:tcPr>
            <w:tcW w:w="2900" w:type="dxa"/>
            <w:vAlign w:val="bottom"/>
          </w:tcPr>
          <w:p>
            <w:pPr>
              <w:jc w:val="right"/>
              <w:spacing w:after="0"/>
              <w:rPr>
                <w:rFonts w:ascii="Arial" w:cs="Arial" w:eastAsia="Arial" w:hAnsi="Arial"/>
                <w:sz w:val="13"/>
                <w:szCs w:val="13"/>
                <w:color w:val="0000FF"/>
              </w:rPr>
            </w:pPr>
            <w:hyperlink w:anchor="page51">
              <w:r>
                <w:rPr>
                  <w:rFonts w:ascii="Arial" w:cs="Arial" w:eastAsia="Arial" w:hAnsi="Arial"/>
                  <w:sz w:val="13"/>
                  <w:szCs w:val="13"/>
                  <w:color w:val="0000FF"/>
                </w:rPr>
                <w:t>32</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Financial Position</w:t>
            </w:r>
          </w:p>
        </w:tc>
        <w:tc>
          <w:tcPr>
            <w:tcW w:w="2900" w:type="dxa"/>
            <w:vAlign w:val="bottom"/>
          </w:tcPr>
          <w:p>
            <w:pPr>
              <w:jc w:val="right"/>
              <w:spacing w:after="0"/>
              <w:rPr>
                <w:rFonts w:ascii="Arial" w:cs="Arial" w:eastAsia="Arial" w:hAnsi="Arial"/>
                <w:sz w:val="13"/>
                <w:szCs w:val="13"/>
                <w:color w:val="0000FF"/>
              </w:rPr>
            </w:pPr>
            <w:hyperlink w:anchor="page52">
              <w:r>
                <w:rPr>
                  <w:rFonts w:ascii="Arial" w:cs="Arial" w:eastAsia="Arial" w:hAnsi="Arial"/>
                  <w:sz w:val="13"/>
                  <w:szCs w:val="13"/>
                  <w:color w:val="0000FF"/>
                </w:rPr>
                <w:t>33</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Changes in Equity</w:t>
            </w:r>
          </w:p>
        </w:tc>
        <w:tc>
          <w:tcPr>
            <w:tcW w:w="2900" w:type="dxa"/>
            <w:vAlign w:val="bottom"/>
          </w:tcPr>
          <w:p>
            <w:pPr>
              <w:jc w:val="right"/>
              <w:spacing w:after="0"/>
              <w:rPr>
                <w:rFonts w:ascii="Arial" w:cs="Arial" w:eastAsia="Arial" w:hAnsi="Arial"/>
                <w:sz w:val="13"/>
                <w:szCs w:val="13"/>
                <w:color w:val="0000FF"/>
              </w:rPr>
            </w:pPr>
            <w:hyperlink w:anchor="page53">
              <w:r>
                <w:rPr>
                  <w:rFonts w:ascii="Arial" w:cs="Arial" w:eastAsia="Arial" w:hAnsi="Arial"/>
                  <w:sz w:val="13"/>
                  <w:szCs w:val="13"/>
                  <w:color w:val="0000FF"/>
                </w:rPr>
                <w:t>34</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Cash Flows</w:t>
            </w:r>
          </w:p>
        </w:tc>
        <w:tc>
          <w:tcPr>
            <w:tcW w:w="2900" w:type="dxa"/>
            <w:vAlign w:val="bottom"/>
          </w:tcPr>
          <w:p>
            <w:pPr>
              <w:jc w:val="right"/>
              <w:spacing w:after="0"/>
              <w:rPr>
                <w:rFonts w:ascii="Arial" w:cs="Arial" w:eastAsia="Arial" w:hAnsi="Arial"/>
                <w:sz w:val="13"/>
                <w:szCs w:val="13"/>
                <w:color w:val="0000FF"/>
              </w:rPr>
            </w:pPr>
            <w:hyperlink w:anchor="page55">
              <w:r>
                <w:rPr>
                  <w:rFonts w:ascii="Arial" w:cs="Arial" w:eastAsia="Arial" w:hAnsi="Arial"/>
                  <w:sz w:val="13"/>
                  <w:szCs w:val="13"/>
                  <w:color w:val="0000FF"/>
                </w:rPr>
                <w:t>36</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2900" w:type="dxa"/>
            <w:vAlign w:val="bottom"/>
          </w:tcPr>
          <w:p>
            <w:pPr>
              <w:jc w:val="right"/>
              <w:spacing w:after="0"/>
              <w:rPr>
                <w:rFonts w:ascii="Arial" w:cs="Arial" w:eastAsia="Arial" w:hAnsi="Arial"/>
                <w:sz w:val="13"/>
                <w:szCs w:val="13"/>
                <w:color w:val="0000FF"/>
              </w:rPr>
            </w:pPr>
            <w:hyperlink w:anchor="page56">
              <w:r>
                <w:rPr>
                  <w:rFonts w:ascii="Arial" w:cs="Arial" w:eastAsia="Arial" w:hAnsi="Arial"/>
                  <w:sz w:val="13"/>
                  <w:szCs w:val="13"/>
                  <w:color w:val="0000FF"/>
                </w:rPr>
                <w:t>37</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Financial Position</w:t>
            </w:r>
          </w:p>
        </w:tc>
        <w:tc>
          <w:tcPr>
            <w:tcW w:w="2900" w:type="dxa"/>
            <w:vAlign w:val="bottom"/>
          </w:tcPr>
          <w:p>
            <w:pPr>
              <w:jc w:val="right"/>
              <w:spacing w:after="0"/>
              <w:rPr>
                <w:rFonts w:ascii="Arial" w:cs="Arial" w:eastAsia="Arial" w:hAnsi="Arial"/>
                <w:sz w:val="13"/>
                <w:szCs w:val="13"/>
                <w:color w:val="0000FF"/>
              </w:rPr>
            </w:pPr>
            <w:hyperlink w:anchor="page146">
              <w:r>
                <w:rPr>
                  <w:rFonts w:ascii="Arial" w:cs="Arial" w:eastAsia="Arial" w:hAnsi="Arial"/>
                  <w:sz w:val="13"/>
                  <w:szCs w:val="13"/>
                  <w:color w:val="0000FF"/>
                </w:rPr>
                <w:t>127</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Changes in Equity</w:t>
            </w:r>
          </w:p>
        </w:tc>
        <w:tc>
          <w:tcPr>
            <w:tcW w:w="2900" w:type="dxa"/>
            <w:vAlign w:val="bottom"/>
          </w:tcPr>
          <w:p>
            <w:pPr>
              <w:jc w:val="right"/>
              <w:spacing w:after="0"/>
              <w:rPr>
                <w:rFonts w:ascii="Arial" w:cs="Arial" w:eastAsia="Arial" w:hAnsi="Arial"/>
                <w:sz w:val="13"/>
                <w:szCs w:val="13"/>
                <w:color w:val="0000FF"/>
              </w:rPr>
            </w:pPr>
            <w:hyperlink w:anchor="page147">
              <w:r>
                <w:rPr>
                  <w:rFonts w:ascii="Arial" w:cs="Arial" w:eastAsia="Arial" w:hAnsi="Arial"/>
                  <w:sz w:val="13"/>
                  <w:szCs w:val="13"/>
                  <w:color w:val="0000FF"/>
                </w:rPr>
                <w:t>128</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Cash Flows</w:t>
            </w:r>
          </w:p>
        </w:tc>
        <w:tc>
          <w:tcPr>
            <w:tcW w:w="2900" w:type="dxa"/>
            <w:vAlign w:val="bottom"/>
          </w:tcPr>
          <w:p>
            <w:pPr>
              <w:jc w:val="right"/>
              <w:spacing w:after="0"/>
              <w:rPr>
                <w:rFonts w:ascii="Arial" w:cs="Arial" w:eastAsia="Arial" w:hAnsi="Arial"/>
                <w:sz w:val="13"/>
                <w:szCs w:val="13"/>
                <w:color w:val="0000FF"/>
              </w:rPr>
            </w:pPr>
            <w:hyperlink w:anchor="page149">
              <w:r>
                <w:rPr>
                  <w:rFonts w:ascii="Arial" w:cs="Arial" w:eastAsia="Arial" w:hAnsi="Arial"/>
                  <w:sz w:val="13"/>
                  <w:szCs w:val="13"/>
                  <w:color w:val="0000FF"/>
                </w:rPr>
                <w:t>130</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Notes to Company Financial Statements</w:t>
            </w:r>
          </w:p>
        </w:tc>
        <w:tc>
          <w:tcPr>
            <w:tcW w:w="2900" w:type="dxa"/>
            <w:vAlign w:val="bottom"/>
          </w:tcPr>
          <w:p>
            <w:pPr>
              <w:jc w:val="right"/>
              <w:spacing w:after="0"/>
              <w:rPr>
                <w:rFonts w:ascii="Arial" w:cs="Arial" w:eastAsia="Arial" w:hAnsi="Arial"/>
                <w:sz w:val="13"/>
                <w:szCs w:val="13"/>
                <w:color w:val="0000FF"/>
              </w:rPr>
            </w:pPr>
            <w:hyperlink w:anchor="page150">
              <w:r>
                <w:rPr>
                  <w:rFonts w:ascii="Arial" w:cs="Arial" w:eastAsia="Arial" w:hAnsi="Arial"/>
                  <w:sz w:val="13"/>
                  <w:szCs w:val="13"/>
                  <w:color w:val="0000FF"/>
                </w:rPr>
                <w:t>131</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Reconciliation from IFRS to US Accounting Polices</w:t>
            </w:r>
          </w:p>
        </w:tc>
        <w:tc>
          <w:tcPr>
            <w:tcW w:w="2900" w:type="dxa"/>
            <w:vAlign w:val="bottom"/>
          </w:tcPr>
          <w:p>
            <w:pPr>
              <w:jc w:val="right"/>
              <w:spacing w:after="0"/>
              <w:rPr>
                <w:rFonts w:ascii="Arial" w:cs="Arial" w:eastAsia="Arial" w:hAnsi="Arial"/>
                <w:sz w:val="13"/>
                <w:szCs w:val="13"/>
                <w:color w:val="0000FF"/>
              </w:rPr>
            </w:pPr>
            <w:hyperlink w:anchor="page159">
              <w:r>
                <w:rPr>
                  <w:rFonts w:ascii="Arial" w:cs="Arial" w:eastAsia="Arial" w:hAnsi="Arial"/>
                  <w:sz w:val="13"/>
                  <w:szCs w:val="13"/>
                  <w:color w:val="0000FF"/>
                </w:rPr>
                <w:t>140</w:t>
              </w:r>
            </w:hyperlink>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Appendix A: Risk Factors</w:t>
            </w:r>
          </w:p>
        </w:tc>
        <w:tc>
          <w:tcPr>
            <w:tcW w:w="2900" w:type="dxa"/>
            <w:vAlign w:val="bottom"/>
          </w:tcPr>
          <w:p>
            <w:pPr>
              <w:jc w:val="right"/>
              <w:spacing w:after="0"/>
              <w:rPr>
                <w:rFonts w:ascii="Arial" w:cs="Arial" w:eastAsia="Arial" w:hAnsi="Arial"/>
                <w:sz w:val="13"/>
                <w:szCs w:val="13"/>
                <w:color w:val="0000FF"/>
              </w:rPr>
            </w:pPr>
            <w:hyperlink w:anchor="page163">
              <w:r>
                <w:rPr>
                  <w:rFonts w:ascii="Arial" w:cs="Arial" w:eastAsia="Arial" w:hAnsi="Arial"/>
                  <w:sz w:val="13"/>
                  <w:szCs w:val="13"/>
                  <w:color w:val="0000FF"/>
                </w:rPr>
                <w:t>144</w:t>
              </w:r>
            </w:hyperlink>
          </w:p>
        </w:tc>
      </w:tr>
    </w:tbl>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300" w:top="90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Directors’ and Other Information</w:t>
      </w:r>
    </w:p>
    <w:p>
      <w:pPr>
        <w:sectPr>
          <w:pgSz w:w="11900" w:h="16838" w:orient="portrait"/>
          <w:cols w:equalWidth="0" w:num="1">
            <w:col w:w="10159"/>
          </w:cols>
          <w:pgMar w:left="300" w:top="7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Ciaran Murray (Irish – Chair)</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Dr. Steve Cutler (Australian –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Rónán Murphy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Prof. Hugh Brady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Dr. John Climax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Joan Garahy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Prof. William Hall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Eugene McCague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Julie O'Neill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Mary Pendergast (American – Non-Executive)</w:t>
      </w:r>
    </w:p>
    <w:p>
      <w:pPr>
        <w:spacing w:after="0" w:line="79" w:lineRule="exact"/>
        <w:rPr>
          <w:sz w:val="20"/>
          <w:szCs w:val="20"/>
          <w:color w:val="auto"/>
        </w:rPr>
      </w:pPr>
    </w:p>
    <w:p>
      <w:pPr>
        <w:sectPr>
          <w:pgSz w:w="11900" w:h="16838" w:orient="portrait"/>
          <w:cols w:equalWidth="0" w:num="2">
            <w:col w:w="4820" w:space="720"/>
            <w:col w:w="4619"/>
          </w:cols>
          <w:pgMar w:left="300" w:top="716"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Diarmaid Cunningham</w:t>
      </w:r>
    </w:p>
    <w:p>
      <w:pPr>
        <w:spacing w:after="0" w:line="90" w:lineRule="exact"/>
        <w:rPr>
          <w:sz w:val="20"/>
          <w:szCs w:val="20"/>
          <w:color w:val="auto"/>
        </w:rPr>
      </w:pPr>
    </w:p>
    <w:p>
      <w:pPr>
        <w:sectPr>
          <w:pgSz w:w="11900" w:h="16838" w:orient="portrait"/>
          <w:cols w:equalWidth="0" w:num="2">
            <w:col w:w="4820" w:space="720"/>
            <w:col w:w="4619"/>
          </w:cols>
          <w:pgMar w:left="300" w:top="716"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South County Business Park</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Leopardstown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18</w:t>
      </w:r>
    </w:p>
    <w:p>
      <w:pPr>
        <w:spacing w:after="0" w:line="79" w:lineRule="exact"/>
        <w:rPr>
          <w:sz w:val="20"/>
          <w:szCs w:val="20"/>
          <w:color w:val="auto"/>
        </w:rPr>
      </w:pPr>
    </w:p>
    <w:p>
      <w:pPr>
        <w:sectPr>
          <w:pgSz w:w="11900" w:h="16838" w:orient="portrait"/>
          <w:cols w:equalWidth="0" w:num="2">
            <w:col w:w="4820" w:space="720"/>
            <w:col w:w="4619"/>
          </w:cols>
          <w:pgMar w:left="300" w:top="716"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KPMG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 Stokes Place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St. Stephen’s Green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Dublin 2</w:t>
      </w:r>
    </w:p>
    <w:p>
      <w:pPr>
        <w:spacing w:after="0" w:line="79" w:lineRule="exact"/>
        <w:rPr>
          <w:sz w:val="20"/>
          <w:szCs w:val="20"/>
          <w:color w:val="auto"/>
        </w:rPr>
      </w:pPr>
    </w:p>
    <w:p>
      <w:pPr>
        <w:sectPr>
          <w:pgSz w:w="11900" w:h="16838" w:orient="portrait"/>
          <w:cols w:equalWidth="0" w:num="2">
            <w:col w:w="4820" w:space="720"/>
            <w:col w:w="4619"/>
          </w:cols>
          <w:pgMar w:left="300" w:top="716"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Solicitors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 &amp; L Goodbody</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Services Centre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North Wall Quay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w:t>
      </w:r>
    </w:p>
    <w:p>
      <w:pPr>
        <w:spacing w:after="0" w:line="95" w:lineRule="exact"/>
        <w:rPr>
          <w:sz w:val="20"/>
          <w:szCs w:val="20"/>
          <w:color w:val="auto"/>
        </w:rPr>
      </w:pPr>
    </w:p>
    <w:p>
      <w:pPr>
        <w:sectPr>
          <w:pgSz w:w="11900" w:h="16838" w:orient="portrait"/>
          <w:cols w:equalWidth="0" w:num="2">
            <w:col w:w="4820" w:space="720"/>
            <w:col w:w="4619"/>
          </w:cols>
          <w:pgMar w:left="300" w:top="716" w:right="1440"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Cahill Gordon &amp; Reindel LLP</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80 Pine Street</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10005</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716" w:right="1440" w:bottom="1440" w:gutter="0" w:footer="0" w:header="0"/>
          <w:type w:val="continuous"/>
        </w:sectPr>
      </w:pPr>
    </w:p>
    <w:p>
      <w:pPr>
        <w:spacing w:after="0" w:line="7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Registrars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Computershare Investor Services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3100 Lake Drive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Citywest Business Campus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24</w:t>
      </w:r>
    </w:p>
    <w:p>
      <w:pPr>
        <w:spacing w:after="0" w:line="79" w:lineRule="exact"/>
        <w:rPr>
          <w:sz w:val="20"/>
          <w:szCs w:val="20"/>
          <w:color w:val="auto"/>
        </w:rPr>
      </w:pPr>
    </w:p>
    <w:p>
      <w:pPr>
        <w:sectPr>
          <w:pgSz w:w="11900" w:h="16838" w:orient="portrait"/>
          <w:cols w:equalWidth="0" w:num="2">
            <w:col w:w="4820" w:space="720"/>
            <w:col w:w="4619"/>
          </w:cols>
          <w:pgMar w:left="300" w:top="716"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Bankers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Citibank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Canada Square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Canary Wharf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London E14 5LB</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95" w:lineRule="exact"/>
        <w:rPr>
          <w:sz w:val="20"/>
          <w:szCs w:val="20"/>
          <w:color w:val="auto"/>
        </w:rPr>
      </w:pPr>
    </w:p>
    <w:p>
      <w:pPr>
        <w:sectPr>
          <w:pgSz w:w="11900" w:h="16838" w:orient="portrait"/>
          <w:cols w:equalWidth="0" w:num="2">
            <w:col w:w="4820" w:space="720"/>
            <w:col w:w="4619"/>
          </w:cols>
          <w:pgMar w:left="300" w:top="716" w:right="1440"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JP Morgan Chase Bank N.A.</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4 New York Plaza</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10004</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716"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59"/>
          </w:cols>
          <w:pgMar w:left="300" w:top="716"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Directors’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Directors present their report and audited Consolidated and Company Financial Statements of ICON plc (“the Company”, “ICON”, "we", "our" or "us"), a public limited company incorporated in the Republic of Ireland, and its subsidiary undertakings (“the Subsidiaries”), with the Company and the Subsidiaries being together (“the Group”) for the year ended 31 December 2020.</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These Consolidated and Company Financial Statements (together “the financial statements”) for the year ended 31 December 2020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www.iconplc.com. IFRS differs in certain respects from U.S. GAAP, details of which are set out on pages 140 to 143 of this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business review and future developments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is a clinical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from compound selection to Phase I-IV clinical studies. The Group’s mission is to accelerate the development of drugs and devices that save lives and improve the quality of life. Our vision is to be the Global CRO partner of choice in drug development by delivering best in class information, solutions and performance in clinical and outcomes research.</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believes that it is one of a select number of CROs with the expertise and capability to conduct clinical trials in most major therapeutic areas on a global basis and has the operational flexibility to provide development services on a stand-alone basis or as part of an integrated “full service” solution. At 31 December 2020, the Group had approximately 15,730 employees, in 93 locations in 41 countries. During the year ended 31 December 2020, the Group derived approximately 33.1%, 57.1% and 9.8% of its revenue in the United States, Europe and Rest of World, respectively.</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have achieved strong growth since our foundation, as a global provider of outsourced development and commercialisation services to pharmaceutical, biotechnology, medical device and government and public health organisations. We focus our innovation on those factors that are critical to our clients - reducing time to market, reducing cost and increasing quality. Our global team has extensive experience in a broad range of therapeutic areas. ICON has been recognised as one of the world's leading Contract Research Organisations (''CROs") through a number of high-profile industry awards.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our market has evolved,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One consequence of the drive to accelerate time to market will be increased emphasis on making existing drug development phases more seamless, through the use of techniques such as adaptive trial designs to filter the most promising compounds and test these in parallel in several therapeutic indications or with other drug combinations.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long-term which in turn should create further growth opportunities for both biopharma companies and their outsource development partners.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716"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During the year, as a result of the global spread of COVID-19, the Company has experienced a net negative impact on its operations. At this point in time, there continues to be significant uncertainty relating to the long-term effects of COVID-19 on our business. We have experienced restrictions on our ability to ensure laboratory samples are collected and analysed on time, our ability to monitor our clinical trials, the ability of patients or other service providers to travel, and our ability to travel as a result of the outbreak.</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However, ICON has mobilized its vaccine resources to address the COVID-19 global threat, including its ability to conduct home-based trials to minimize infection. In addition, the Company has seen some offsetting positive business impact from COVID-19 and is currently providing clinical monitoring and safety oversight on more than 100 COVID-19 trials for both the private and government sectors.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During the year ended 31 December 2020, ICON provided clinical trial services to the Pfizer and BioNTech SE investigational COVID-19 vaccine program. ICON worked with Pfizer and 153 sites in the US, Europe and Latin America to ensure over 44,000 patients were recruited within four months for phase 3 of the trial, during the global pandemic, in one of the largest and most expeditious clinical trials ever performed. Trial capabilities were key to enabling agility and speed in the global study, which included a high level of remote clinical monitoring and source data verification in addition to on-site monitoring, safeguarding data quality and integrity in the evolving pandemic environment.</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Revenue for the year ended 31 December 2020 decreased by $8.6 million, or 0.3%, to $2,797.3 million from $2,805.8 million for the year ended 31 December 2019. The decrease in revenues in the year ended December 31, 2020 reflected the impact the COVID-19 global pandemic has had on operations including: our ability to ensure laboratory samples are collected and analysed on time, our ability to perform on-site monitoring of clinical trials, the ability of patients or other service providers to travel, and our ability to travel. This impact was most significant in late quarter one and quarter two, when the impact on sites was most pronounced. Certain cost saving measures were introduced in response to COVID-19 during this period. While the impact of COVID-19 and the resulting restrictions on travel and related operational activity continues, the Company has been involved in clinical monitoring and safety oversight on significant COVID-19 trials during the third and fourth quarters of 2020, which have offset in part the negative impact on activity experienced during the year. The Company has operated a task force during 2020 to lead our operational response to COVID-</w:t>
      </w:r>
    </w:p>
    <w:p>
      <w:pPr>
        <w:spacing w:after="0" w:line="3" w:lineRule="exact"/>
        <w:rPr>
          <w:sz w:val="20"/>
          <w:szCs w:val="20"/>
          <w:color w:val="auto"/>
        </w:rPr>
      </w:pPr>
    </w:p>
    <w:p>
      <w:pPr>
        <w:ind w:firstLine="5"/>
        <w:spacing w:after="0" w:line="233" w:lineRule="auto"/>
        <w:tabs>
          <w:tab w:leader="none" w:pos="212" w:val="left"/>
        </w:tabs>
        <w:numPr>
          <w:ilvl w:val="0"/>
          <w:numId w:val="14"/>
        </w:numPr>
        <w:rPr>
          <w:rFonts w:ascii="Arial" w:cs="Arial" w:eastAsia="Arial" w:hAnsi="Arial"/>
          <w:sz w:val="13"/>
          <w:szCs w:val="13"/>
          <w:color w:val="auto"/>
        </w:rPr>
      </w:pPr>
      <w:r>
        <w:rPr>
          <w:rFonts w:ascii="Arial" w:cs="Arial" w:eastAsia="Arial" w:hAnsi="Arial"/>
          <w:sz w:val="13"/>
          <w:szCs w:val="13"/>
          <w:color w:val="auto"/>
        </w:rPr>
        <w:t>A key priority of the efforts of the task force has been to ensure the safety and well being of our people, supporting them in working from home and ensuring our people working at sites, and in labs are supported.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887"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Delivery of our mission and strategy is focused on our four strategic pillars, being (i) Partnership &amp; Customer Focused (ii) Operational Excellence &amp; Quality (iii) Talent and People Development and (iv) Patient, Site and Data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4608195" cy="2445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08195" cy="244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Our strategy is focused on the following areas: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Partnerships and Customers Focused</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We continue to focus on expanding and deepening our partnerships with existing customers, while also developing new customer relationships.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programme management capabilities.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To meet the evolving needs of both our existing and new clients we continue to enhance our capabilities through both organic service development and targeted acquisitions.</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During the year, we continued to enhance our scientific and therapeutic expertise to support our customers in specific areas including oncology, orphan and rare diseases, CNS, dermatology, infectious disease and women's health. During 2020, ICON mobilised its vaccine resources to address the COVID-19 global threat, including its ability to conduct home-based trials to minimise infection. In addition, the Company is currently providing clinical monitoring and safety oversight on more than 100 COVID-19 trials for both the private and government sectors.</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continue to target growth in under-penetrated CRO market segments. Penetration within medical device companies has lagged that of bio-pharma firms but is beginning to accelerate. EU Regulatory reform enacted in 2017 is a further catalyst to growth in this segment as it included stricter requirements to perform clinical evaluations and post sale surveillance. In early 2020, the Group acquired MedPass which will further our value offering in this area.</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We also invested significantly in our site and patient network and consider our expertise and offering in this area as one of our strategic pillars effective from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887"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Operational Excellence and Quality</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We continue to enhance our operating processes and delivery models to gain competitive advantage.</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Finding and engaging suitable patients to conduct clinical trials is one of the biggest issues facing the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Our Accellacare, CRN Holdings, LLC (trading as Symphony Clinical Research ("Symphony")) and Oncacare Limited ("Oncacare") site network alliances enhances our ability to enrol patients onto the clinical studies we perform. We have also developed strategic alliances with investigator site groups and health 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visualisation and tools necessary for optimum site identification based on ICON and industry data of capability, experience and performance. Scoring on enrolment performance, speed of start-up and quality supports better site selection.</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proprietary ICONIK platform, which integrates clinical data across multiple systems allows us to access clinical and real world data to enhance protocol design and profile match patients to trials. It also facilitates collection of real-time data during the trial process enabling better decision making and project execution. The platform uses data and evidence-based research to develop solutions that engage investigators and patients more effectively to improve patient recruitment and retention.</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ADDPLAN is part of the ICONIK Informatics Hub. The software provides industry leading statistical design, simulation and analysis for adaptive clinical trials, from phase I to IV and helps our customers identify the most promising drug candidates earlier in the development process and in parallel test these across several therapeutic indications and with other drug combinations. ADDPLAN is used by regulatory agencies (FDA, EMA (Europe) and PMDA (Japan), top pharmaceuticals, medical device companies, and academia.</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Quality project execution underpins all that we do and we have an ongoing focus on developing our people and processes to continue to enhance our service delivery. We are also deploying supporting technologies which we believe will enable faster and deeper insights into the quality of trial data.</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focused on operational excellence across our support functions and we operate a global business support infrastructure across functions including finance, information technology, facilities, human resources and legal. This enables us to enhance the service levels across these support areas whilst driving down the costs of the service provision.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Talent and People Development</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At the core of our strategy is our people. Within ICON we have highly qualified and experienced teams, the majority of whom have third level educational qualifications. The need to develop and retain this expertise and talent within the organisation is fundamental in enabling us to be the global CRO partner of choice for our customers. We have invested in creating an innovative learning environment delivered through ICON’s training and development group, who have formed an industry leading collaboration with University College Dublin. This enables ICON to provide customised management and development programmes for global employees. These programmes are focused on leadership development for those people management roles and specific technical training in competencies that are core to our business, such as project and programme management and clinical research associate development. We continue to invest to refine and develop these programmes.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learning and development programmes are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Our leadership and talent programmes contribute to the enhanced retention of our employees, better project deliverables for our customers and the enhanced financial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887"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Patient, Site and Data Solutions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has a focused patient, site and data strategy, which is helping us to improve site identification, study placement and patient recruitment and retention. We continued to expand our site and patient recruitment capabilities during 2020 with the launch of Accellacare, a global clinical research network, enhancing on the acquisitions of MeDiNova Research ("MeDiNova") and Symphony in 2019 along with the 2018 expansion of the PMG Research network through a partnership with the DuPage Medical Group.</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3 September 2020, ICON announced that it was launching Accellacare, a global clinical research network offering patients easier and faster access to innovative treatments and offering customers the option to deploy decentralised trials. The site network includes previously acquired PMG Research in the US and MeDiNova Research in EMEA.</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Accellacare’s patient centric approach focuses on enhancing the patient experience either on site, or at home as part of integrated operations with Symphony, the leading global provider of at-home care and nursing for clinical trials owned by ICON.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It is also proving investigators with innovative treatments for their patients with a quality-focused clinical research infrastructure supported by experienced professionals globally.</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DuPage is the largest independent, multi-specialty physician group in the Chicagoland area with access to more than 700 physicians in over 50 clinical specialties ranging from primary to specialty care in areas such as cardiology and oncology. Through this agreement PMG assumed the research infrastructure at DuPage providing expanded investigator and patient access and bringing clinical research as a care option to the communities served.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Applied Innovation and Integrated Data</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Innovation at ICON is focused on the factors that are critical to our clients. We develop integrated technologies to significantly enhance the efficiency and productivity of clients’ drug and device development programmes, providing true transparency across all areas of a study.</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 in class technology providers but is also supported by a suite of differentiated ICON proprietary technologies.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TriNetX. During 2018, we signed an agreement with Intel to deploy the Intel® Pharma Analytics Platform for use in clinical trials. The Intel platform is an artificial intelligence solution that enables remote monitoring and continuous capture of clinical data from study subjects using sensors and wearable devices and can apply machine learning techniques to objectively measure symptoms and quantify the impact of new therapies.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addition to our ICONIK platform and ADDPLAN software, Firecrest; ICON’s proprietary comprehensive site performance management system,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 We have continued our development in 2020 and Firecrest is now integrated into the ICON Safety Reporting Solution and provides a new Site Question Management Tool.</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Alongside the application of these technology solutions we are also focused on innovation through the redesign and where appropriate the automation of current clinical trial processes.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887"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of the Company and Group</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principal activity of ICON plc ("the Company") is to act as a holding Company. The Company also operates branch offices, ICON Italy in Milan, ICON Poland in Warsaw, ICON Latvia in Riga and ICON Lithuania in Vilnius. These branches provide contract research services to the pharmaceutical industry.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4473575" cy="2095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73575" cy="209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3 September 2020, ICON announced that it was launching Accellacare, a global clinical research network offering patients easier and faster access to innovative treatments and offering customers the option to deploy decentralised trials. The site network includes previously acquired PMG Research in the US and MeDiNova Research in EMEA</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24 July 2020 a subsidiary of the Company, ICON Clinical Research Limited, entered into an agreement to jointly establish a new company, Oncacare Limited ("Oncacare"), with a third-party. Oncacare will operate a specialised oncology site network in the US and EMEA regions. The new site network will focus on implementing a range of commercial models with specialist oncology healthcare providers in the US and EMEA to accelerate the recruitment and retention of patients into oncology trials. The oncology site network will operate as a joint venture between the Company and a third-party company which has extensive experience in developing and running a site network. The Company has invested $4.9 million to obtain a 49% interest in the voting share capital of Oncacare. The third-party to the joint venture has the right to sell the 51% majority voting share capital exclusively to the Company in an eighteen month period, commencing 1 January 2023 and ICON also has the right to acquire the 51% majority voting share capital from 1 August 2025.</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23 May 2019 a subsidiary of the Company, ICON Clinical Research (U.K.) Limited, acquired a majority shareholding in MeDiNova, a site network with research sites in key markets in Europe and Africa. The consideration to acquire the majority shareholding was cash of $54.1 million (excluding a working capital adjustment of $0.5 million). The contingent consideration was paid in October 2019. The acquisition further enhances ICON's patient recruitment capabilities in EMEA and complements ICON's existing site network in the USA, PMG Research. ICON had the right to acquire the remaining shares in the company and on 9 March 2020 ICON exercised its option to call the outstanding shares in the noncontrolling interest to take 100% ownership of MeDiNova. Effective from this date, the noncontrolling interest was derecognised. The company settled the amount to due to the noncontrolling interest holder on 17 July 2020 for $43.9 million.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22 January 2020 a subsidiary of the Company, ICON Investments Limited, acquired 100% of the equity share capital of MedPass International ("MedPass").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 The total consideration was $47.6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887"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24 September 2019, a subsidiary of the Company, ICON Clinical Research LLC, acquired a 100% interest in Symphony. Founded in 2003 and operating from its headquarters in Illinois, USA and Gdansk, Poland, Symphony is a leading provider of at-home trial services and site support services from study start-up to closeout for Phase I-IV global studies. Symphony will grow ICON's patient recruitment capabilities globally and complements ICON's site network in the USA, PMG Research and the recently acquired site network in EMEA, MeDiNova. The consideration to acquire the 100% interest was cash of $35.3 million and contingent consideration which was initially estimated at a fair value of $2.5 million. During 2020, the contingent consideration was settled at fair value in the amount of $0.5 million. The change in fair value has been recorded in the selling, general and administrative expense line of the Consolidated Statement of Operations.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On 25 January 2019, a subsidiary of the Company, ICON Laboratory Services, Inc., acquired 100% of the share capital of MolecularMD Corp. ("MMD"). The consideration was $42.2 million. MMD is a molecular diagnostic speciality laboratory that enables the development and commercialisation of precision medicines in oncology. It is a recognised leader in the analytical development and clinical validation of molecular diagnostic assays. It offers a comprehensive test menu in immuno-oncology development and services also include companion diagnostic development services. The acquisition enhances ICON’s laboratory offering in molecular diagnostic testing and brings to ICON expanded testing platforms, including next generation sequencing, and immunohistochemistry (IHC).</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developments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Please see </w:t>
      </w:r>
      <w:r>
        <w:rPr>
          <w:rFonts w:ascii="Arial" w:cs="Arial" w:eastAsia="Arial" w:hAnsi="Arial"/>
          <w:sz w:val="13"/>
          <w:szCs w:val="13"/>
          <w:i w:val="1"/>
          <w:iCs w:val="1"/>
          <w:color w:val="auto"/>
        </w:rPr>
        <w:t>note 31 Subsequent events</w:t>
      </w:r>
      <w:r>
        <w:rPr>
          <w:rFonts w:ascii="Arial" w:cs="Arial" w:eastAsia="Arial" w:hAnsi="Arial"/>
          <w:sz w:val="13"/>
          <w:szCs w:val="13"/>
          <w:color w:val="auto"/>
        </w:rPr>
        <w:t xml:space="preserve"> for details of events in the period from year-end to the approval of the financial statements.</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2021, the Group looks forward to continuing to expand through organic growth,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and dividends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results for the year are as shown on page 31 of these financial statements. The Directors do not propose the payment of a dividend for the year ended 31 December 2020.</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following table sets forth for the periods indicated certain financial data as a percentage of revenue and the percentage change in these items compared to the prior period, being the key performance indicators used by management. The trends illustrated in the following table may not be indicative of future results.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shd w:val="clear" w:color="auto" w:fill="CCEEFF"/>
          </w:tcPr>
          <w:p>
            <w:pPr>
              <w:spacing w:after="0"/>
              <w:rPr>
                <w:sz w:val="13"/>
                <w:szCs w:val="13"/>
                <w:color w:val="auto"/>
              </w:rPr>
            </w:pPr>
          </w:p>
        </w:tc>
        <w:tc>
          <w:tcPr>
            <w:tcW w:w="3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Year ended 31 December</w:t>
            </w:r>
          </w:p>
        </w:tc>
        <w:tc>
          <w:tcPr>
            <w:tcW w:w="19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Year ended 31 December</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Percentage change</w:t>
            </w:r>
          </w:p>
        </w:tc>
      </w:tr>
      <w:tr>
        <w:trPr>
          <w:trHeight w:val="183"/>
        </w:trPr>
        <w:tc>
          <w:tcPr>
            <w:tcW w:w="4780" w:type="dxa"/>
            <w:vAlign w:val="bottom"/>
            <w:tcBorders>
              <w:bottom w:val="single" w:sz="8" w:color="auto"/>
            </w:tcBorders>
            <w:shd w:val="clear" w:color="auto" w:fill="CCEEFF"/>
          </w:tcPr>
          <w:p>
            <w:pPr>
              <w:spacing w:after="0"/>
              <w:rPr>
                <w:sz w:val="15"/>
                <w:szCs w:val="15"/>
                <w:color w:val="auto"/>
              </w:rPr>
            </w:pP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19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2019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in period</w:t>
            </w:r>
          </w:p>
        </w:tc>
      </w:tr>
      <w:tr>
        <w:trPr>
          <w:trHeight w:val="168"/>
        </w:trPr>
        <w:tc>
          <w:tcPr>
            <w:tcW w:w="47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20" w:type="dxa"/>
            <w:vAlign w:val="bottom"/>
          </w:tcPr>
          <w:p>
            <w:pPr>
              <w:jc w:val="right"/>
              <w:ind w:right="176"/>
              <w:spacing w:after="0"/>
              <w:rPr>
                <w:sz w:val="20"/>
                <w:szCs w:val="20"/>
                <w:color w:val="auto"/>
              </w:rPr>
            </w:pPr>
            <w:r>
              <w:rPr>
                <w:rFonts w:ascii="Arial" w:cs="Arial" w:eastAsia="Arial" w:hAnsi="Arial"/>
                <w:sz w:val="13"/>
                <w:szCs w:val="13"/>
                <w:b w:val="1"/>
                <w:bCs w:val="1"/>
                <w:color w:val="auto"/>
                <w:w w:val="97"/>
              </w:rPr>
              <w:t>As a percentage of revenue</w:t>
            </w:r>
          </w:p>
        </w:tc>
        <w:tc>
          <w:tcPr>
            <w:tcW w:w="1440" w:type="dxa"/>
            <w:vAlign w:val="bottom"/>
          </w:tcPr>
          <w:p>
            <w:pPr>
              <w:spacing w:after="0"/>
              <w:rPr>
                <w:sz w:val="14"/>
                <w:szCs w:val="14"/>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9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100 %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-0.3 %</w:t>
            </w:r>
          </w:p>
        </w:tc>
      </w:tr>
      <w:tr>
        <w:trPr>
          <w:trHeight w:val="152"/>
        </w:trPr>
        <w:tc>
          <w:tcPr>
            <w:tcW w:w="47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Direct costs (excluding exceptional items)</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70.8 %</w:t>
            </w:r>
          </w:p>
        </w:tc>
        <w:tc>
          <w:tcPr>
            <w:tcW w:w="19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70.3 %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0.3 %</w:t>
            </w:r>
          </w:p>
        </w:tc>
      </w:tr>
      <w:tr>
        <w:trPr>
          <w:trHeight w:val="152"/>
        </w:trPr>
        <w:tc>
          <w:tcPr>
            <w:tcW w:w="47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operating expenses (excluding exceptional items)</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14.5 %</w:t>
            </w:r>
          </w:p>
        </w:tc>
        <w:tc>
          <w:tcPr>
            <w:tcW w:w="19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14.2 %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2.7 %</w:t>
            </w:r>
          </w:p>
        </w:tc>
      </w:tr>
      <w:tr>
        <w:trPr>
          <w:trHeight w:val="152"/>
        </w:trPr>
        <w:tc>
          <w:tcPr>
            <w:tcW w:w="47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Operating profit (excluding exceptional items)</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14.7 %</w:t>
            </w:r>
          </w:p>
        </w:tc>
        <w:tc>
          <w:tcPr>
            <w:tcW w:w="19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15.5 %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52"/>
        </w:trPr>
        <w:tc>
          <w:tcPr>
            <w:tcW w:w="47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Exceptional items (before taxation)</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19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0.0 %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52"/>
        </w:trPr>
        <w:tc>
          <w:tcPr>
            <w:tcW w:w="47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1"/>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Operating profit (including exceptional items)</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14.0 %</w:t>
            </w:r>
          </w:p>
        </w:tc>
        <w:tc>
          <w:tcPr>
            <w:tcW w:w="19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15.5 %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-10.1 %</w:t>
            </w: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887"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Twelve months ended 31 December 2020 compared to twelve months ended 31 December 2019</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80" w:type="dxa"/>
            <w:vAlign w:val="bottom"/>
            <w:shd w:val="clear" w:color="auto" w:fill="CCEEFF"/>
          </w:tcPr>
          <w:p>
            <w:pPr>
              <w:jc w:val="center"/>
              <w:ind w:left="336"/>
              <w:spacing w:after="0"/>
              <w:rPr>
                <w:sz w:val="20"/>
                <w:szCs w:val="20"/>
                <w:color w:val="auto"/>
              </w:rPr>
            </w:pPr>
            <w:r>
              <w:rPr>
                <w:rFonts w:ascii="Arial" w:cs="Arial" w:eastAsia="Arial" w:hAnsi="Arial"/>
                <w:sz w:val="13"/>
                <w:szCs w:val="13"/>
                <w:b w:val="1"/>
                <w:bCs w:val="1"/>
                <w:color w:val="auto"/>
                <w:w w:val="95"/>
              </w:rPr>
              <w:t>Year Ended</w:t>
            </w:r>
          </w:p>
        </w:tc>
        <w:tc>
          <w:tcPr>
            <w:tcW w:w="9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Change</w:t>
            </w: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2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3"/>
                <w:szCs w:val="13"/>
                <w:b w:val="1"/>
                <w:bCs w:val="1"/>
                <w:color w:val="auto"/>
                <w:w w:val="98"/>
              </w:rPr>
              <w:t>31 December</w:t>
            </w:r>
          </w:p>
        </w:tc>
        <w:tc>
          <w:tcPr>
            <w:tcW w:w="9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60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2,797,288 $</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2,805,839</w:t>
            </w:r>
          </w:p>
        </w:tc>
        <w:tc>
          <w:tcPr>
            <w:tcW w:w="110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(8,551)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Revenue for the year ended 31 December 2020 decreased by $8.6 million, or 0.3%, to $2,797.3 million from $2,805.8 million for the year ended 31 December 2019. For the year ended 31 December 2020 we derived approximately 33.1%, 57.1% and 9.8% of our revenue in the United States, Europe and Rest of World, respectively. The decrease in revenues in the year ended 31 December 2020 reflected the impact the COVID-19 global pandemic has had on operations including; our ability to ensure laboratory samples are collected and analysed on time, our ability to perform on-site monitoring of clinical trials, the ability of patients or other service providers to travel, and our ability to travel. This impact was most significant in late quarter one and early quarter two when the impact on sites was most significant. While the impact of COVID-19 and the resulting restrictions on travel and related operational activity continues, the Company has been involved in clinical monitoring and safety oversight on significant COVID-19 trials during quarters three and four which have offset in part the negative impact on activity experienced during the year.</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Year Ended</w:t>
            </w: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0"/>
        </w:trPr>
        <w:tc>
          <w:tcPr>
            <w:tcW w:w="58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gridSpan w:val="2"/>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r>
      <w:tr>
        <w:trPr>
          <w:trHeight w:val="16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5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Change</w:t>
            </w:r>
          </w:p>
        </w:tc>
      </w:tr>
      <w:tr>
        <w:trPr>
          <w:trHeight w:val="161"/>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 (excluding exceptional items)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1,980,369</w:t>
            </w: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1,973,621</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6,748</w:t>
            </w:r>
          </w:p>
        </w:tc>
      </w:tr>
      <w:tr>
        <w:trPr>
          <w:trHeight w:val="168"/>
        </w:trPr>
        <w:tc>
          <w:tcPr>
            <w:tcW w:w="584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70.8 %</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70.3 %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0.3 %</w:t>
            </w:r>
          </w:p>
        </w:tc>
      </w:tr>
      <w:tr>
        <w:trPr>
          <w:trHeight w:val="172"/>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 (including exceptional items)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1,989,256</w:t>
            </w: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1,973,621</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15,635</w:t>
            </w:r>
          </w:p>
        </w:tc>
      </w:tr>
      <w:tr>
        <w:trPr>
          <w:trHeight w:val="165"/>
        </w:trPr>
        <w:tc>
          <w:tcPr>
            <w:tcW w:w="584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71.1 %</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70.3 %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0.8 %</w:t>
            </w:r>
          </w:p>
        </w:tc>
      </w:tr>
    </w:tbl>
    <w:p>
      <w:pPr>
        <w:spacing w:after="0" w:line="2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Direct costs for the year ended 31 December 2020 increased by $6.7 million or 0.3%, to $1,980.4 million from $1,973.6 million for the year ended 31 December 2019 (excluding exceptional items). Direct costs consist primarily of investigator and other reimbursable costs, compensation, associated fringe benefits and share-based compensation expense for project-related employees and other direct project driven costs. The increase in direct costs (excluding exceptional items) during the year arose due to an increase in headcount and a corresponding increase in personnel related expenditure of $81.7 million combined with an increase in other direct project related costs of $2.3 million, increases in laboratory costs of $12.5 million, partly offset by a decrease in third-party investigator and other reimbursable costs of $84.7 million and a decrease in travel related costs of $5.1 million. As a percentage of gross revenue, direct costs have increased to 70.8% compared to 70.3% for the year ended 31 December 2019 (excluding exceptional items).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887"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Year Ended</w:t>
            </w: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0"/>
        </w:trPr>
        <w:tc>
          <w:tcPr>
            <w:tcW w:w="584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gridSpan w:val="2"/>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0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r>
      <w:tr>
        <w:trPr>
          <w:trHeight w:val="16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Change</w:t>
            </w:r>
          </w:p>
        </w:tc>
      </w:tr>
      <w:tr>
        <w:trPr>
          <w:trHeight w:val="161"/>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 (excluding exceptional items)</w:t>
            </w: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406,863</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396,087</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10,776</w:t>
            </w:r>
          </w:p>
        </w:tc>
      </w:tr>
      <w:tr>
        <w:trPr>
          <w:trHeight w:val="168"/>
        </w:trPr>
        <w:tc>
          <w:tcPr>
            <w:tcW w:w="584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6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14.5 %</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14.2 %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2.7 %</w:t>
            </w:r>
          </w:p>
        </w:tc>
      </w:tr>
      <w:tr>
        <w:trPr>
          <w:trHeight w:val="172"/>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 (including exceptional items)</w:t>
            </w: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416,065</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396,087</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19,978</w:t>
            </w:r>
          </w:p>
        </w:tc>
      </w:tr>
      <w:tr>
        <w:trPr>
          <w:trHeight w:val="165"/>
        </w:trPr>
        <w:tc>
          <w:tcPr>
            <w:tcW w:w="584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6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14.9 %</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14.2 %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5.0 %</w:t>
            </w:r>
          </w:p>
        </w:tc>
      </w:tr>
    </w:tbl>
    <w:p>
      <w:pPr>
        <w:spacing w:after="0" w:line="2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Other operating expenses for the year ended 31 December 2020 increased by $10.8 million, or 2.7%, to $406.9 million compared to $396.1 million for the year ended 31 December 2019 (excluding exceptional items). Other operating costs are primarily comprised of compensation, related fringe benefits, share compensation expense for non project related employees, recruitment expenditures, professional service costs, advertising costs and all costs related to facilities and information systems. As a percentage of revenue, other operating expenses increased to 14.5% of revenue, compared to 14.2% of revenue for the year ended 31 December 2019 (excluding exceptional items). During the year, general overhead costs net of foreign exchange costs increased by $2.8 million, facilities related costs increased by $5.7 million, depreciation and amortisation increased by $4.6 million, personnel related costs increased by $1.2 million and professional fees increased by $0.5 million. These increases were partly offset by a decrease of $3.3 million in acquisition costs and a decrease of $0.7 million in marketing fees.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Restructuring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jc w:val="center"/>
              <w:ind w:left="136"/>
              <w:spacing w:after="0"/>
              <w:rPr>
                <w:sz w:val="20"/>
                <w:szCs w:val="20"/>
                <w:color w:val="auto"/>
              </w:rPr>
            </w:pPr>
            <w:r>
              <w:rPr>
                <w:rFonts w:ascii="Arial" w:cs="Arial" w:eastAsia="Arial" w:hAnsi="Arial"/>
                <w:sz w:val="13"/>
                <w:szCs w:val="13"/>
                <w:b w:val="1"/>
                <w:bCs w:val="1"/>
                <w:color w:val="auto"/>
                <w:w w:val="95"/>
              </w:rPr>
              <w:t>Year Ended</w:t>
            </w:r>
          </w:p>
        </w:tc>
        <w:tc>
          <w:tcPr>
            <w:tcW w:w="1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70"/>
        </w:trPr>
        <w:tc>
          <w:tcPr>
            <w:tcW w:w="592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gridSpan w:val="2"/>
            <w:shd w:val="clear" w:color="auto" w:fill="CCEEFF"/>
          </w:tcPr>
          <w:p>
            <w:pPr>
              <w:jc w:val="center"/>
              <w:ind w:left="136"/>
              <w:spacing w:after="0"/>
              <w:rPr>
                <w:sz w:val="20"/>
                <w:szCs w:val="20"/>
                <w:color w:val="auto"/>
              </w:rPr>
            </w:pPr>
            <w:r>
              <w:rPr>
                <w:rFonts w:ascii="Arial" w:cs="Arial" w:eastAsia="Arial" w:hAnsi="Arial"/>
                <w:sz w:val="13"/>
                <w:szCs w:val="13"/>
                <w:b w:val="1"/>
                <w:bCs w:val="1"/>
                <w:color w:val="auto"/>
                <w:w w:val="99"/>
              </w:rPr>
              <w:t>December 31,</w:t>
            </w:r>
          </w:p>
        </w:tc>
        <w:tc>
          <w:tcPr>
            <w:tcW w:w="1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r>
      <w:tr>
        <w:trPr>
          <w:trHeight w:val="16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9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2019</w:t>
            </w: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Change</w:t>
            </w:r>
          </w:p>
        </w:tc>
      </w:tr>
      <w:tr>
        <w:trPr>
          <w:trHeight w:val="161"/>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w:t>
            </w: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18,089</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   $</w:t>
            </w: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18,089</w:t>
            </w:r>
          </w:p>
        </w:tc>
      </w:tr>
      <w:tr>
        <w:trPr>
          <w:trHeight w:val="165"/>
        </w:trPr>
        <w:tc>
          <w:tcPr>
            <w:tcW w:w="5920" w:type="dxa"/>
            <w:vAlign w:val="bottom"/>
          </w:tcPr>
          <w:p>
            <w:pPr>
              <w:ind w:left="20"/>
              <w:spacing w:after="0"/>
              <w:rPr>
                <w:sz w:val="20"/>
                <w:szCs w:val="20"/>
                <w:color w:val="auto"/>
              </w:rPr>
            </w:pPr>
            <w:r>
              <w:rPr>
                <w:rFonts w:ascii="Arial" w:cs="Arial" w:eastAsia="Arial" w:hAnsi="Arial"/>
                <w:sz w:val="13"/>
                <w:szCs w:val="13"/>
                <w:color w:val="auto"/>
              </w:rPr>
              <w:t>% of revenue</w:t>
            </w:r>
          </w:p>
        </w:tc>
        <w:tc>
          <w:tcPr>
            <w:tcW w:w="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0.7 %</w:t>
            </w:r>
          </w:p>
        </w:tc>
        <w:tc>
          <w:tcPr>
            <w:tcW w:w="940" w:type="dxa"/>
            <w:vAlign w:val="bottom"/>
          </w:tcPr>
          <w:p>
            <w:pPr>
              <w:spacing w:after="0"/>
              <w:rPr>
                <w:sz w:val="14"/>
                <w:szCs w:val="14"/>
                <w:color w:val="auto"/>
              </w:rPr>
            </w:pPr>
          </w:p>
        </w:tc>
        <w:tc>
          <w:tcPr>
            <w:tcW w:w="1240" w:type="dxa"/>
            <w:vAlign w:val="bottom"/>
          </w:tcPr>
          <w:p>
            <w:pPr>
              <w:jc w:val="right"/>
              <w:ind w:right="296"/>
              <w:spacing w:after="0"/>
              <w:rPr>
                <w:sz w:val="20"/>
                <w:szCs w:val="20"/>
                <w:color w:val="auto"/>
              </w:rPr>
            </w:pPr>
            <w:r>
              <w:rPr>
                <w:rFonts w:ascii="Arial" w:cs="Arial" w:eastAsia="Arial" w:hAnsi="Arial"/>
                <w:sz w:val="13"/>
                <w:szCs w:val="13"/>
                <w:color w:val="auto"/>
              </w:rPr>
              <w:t>0.0 %</w:t>
            </w:r>
          </w:p>
        </w:tc>
        <w:tc>
          <w:tcPr>
            <w:tcW w:w="1340" w:type="dxa"/>
            <w:vAlign w:val="bottom"/>
          </w:tcPr>
          <w:p>
            <w:pPr>
              <w:jc w:val="right"/>
              <w:spacing w:after="0"/>
              <w:rPr>
                <w:sz w:val="20"/>
                <w:szCs w:val="20"/>
                <w:color w:val="auto"/>
              </w:rPr>
            </w:pPr>
            <w:r>
              <w:rPr>
                <w:rFonts w:ascii="Arial" w:cs="Arial" w:eastAsia="Arial" w:hAnsi="Arial"/>
                <w:sz w:val="13"/>
                <w:szCs w:val="13"/>
                <w:color w:val="auto"/>
              </w:rPr>
              <w:t>100.0 %</w:t>
            </w:r>
          </w:p>
        </w:tc>
      </w:tr>
    </w:tbl>
    <w:p>
      <w:pPr>
        <w:spacing w:after="0" w:line="27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During the year ended 31 December 2020, the Company implemented a restructuring plan to improve operating efficiencies resulting in recognition of a restructuring charge of $18.1 million. The restructuring plan reflected resource rationalisation across the business to improve resource utilisation. There was no restructuring charge during the year ended 31 December 2019 (see </w:t>
      </w:r>
      <w:r>
        <w:rPr>
          <w:rFonts w:ascii="Arial" w:cs="Arial" w:eastAsia="Arial" w:hAnsi="Arial"/>
          <w:sz w:val="13"/>
          <w:szCs w:val="13"/>
          <w:i w:val="1"/>
          <w:iCs w:val="1"/>
          <w:color w:val="auto"/>
        </w:rPr>
        <w:t>note 8 -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Exceptional items </w:t>
      </w:r>
      <w:r>
        <w:rPr>
          <w:rFonts w:ascii="Arial" w:cs="Arial" w:eastAsia="Arial" w:hAnsi="Arial"/>
          <w:sz w:val="13"/>
          <w:szCs w:val="13"/>
          <w:color w:val="auto"/>
        </w:rPr>
        <w:t>to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profit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Year Ended</w:t>
            </w:r>
          </w:p>
        </w:tc>
        <w:tc>
          <w:tcPr>
            <w:tcW w:w="1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70"/>
        </w:trPr>
        <w:tc>
          <w:tcPr>
            <w:tcW w:w="58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gridSpan w:val="2"/>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10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r>
      <w:tr>
        <w:trPr>
          <w:trHeight w:val="16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Change</w:t>
            </w:r>
          </w:p>
        </w:tc>
      </w:tr>
      <w:tr>
        <w:trPr>
          <w:trHeight w:val="161"/>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(excluding exceptional items)</w:t>
            </w: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410,056</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436,131</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(26,075)</w:t>
            </w:r>
          </w:p>
        </w:tc>
      </w:tr>
      <w:tr>
        <w:trPr>
          <w:trHeight w:val="168"/>
        </w:trPr>
        <w:tc>
          <w:tcPr>
            <w:tcW w:w="582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6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14.7 %</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15.5 %</w:t>
            </w:r>
          </w:p>
        </w:tc>
        <w:tc>
          <w:tcPr>
            <w:tcW w:w="3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(6.0 %)</w:t>
            </w:r>
          </w:p>
        </w:tc>
      </w:tr>
      <w:tr>
        <w:trPr>
          <w:trHeight w:val="172"/>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(including exceptional items)</w:t>
            </w: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391,967</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436,131</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(44,164)</w:t>
            </w:r>
          </w:p>
        </w:tc>
      </w:tr>
      <w:tr>
        <w:trPr>
          <w:trHeight w:val="165"/>
        </w:trPr>
        <w:tc>
          <w:tcPr>
            <w:tcW w:w="582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6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14.0 %</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15.5 %</w:t>
            </w:r>
          </w:p>
        </w:tc>
        <w:tc>
          <w:tcPr>
            <w:tcW w:w="3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(10.1 %)</w:t>
            </w:r>
          </w:p>
        </w:tc>
      </w:tr>
    </w:tbl>
    <w:p>
      <w:pPr>
        <w:spacing w:after="0" w:line="27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Operating profit decreased by $26.1 million, or 6.0%, to $410.1 million ($392.0 million including exceptional items) for the year ended 31 December 2020 from $436.1 million for the year ended 31 December 2019. As a percentage of revenue, operating profit decreased to 14.7% (14.0% including exceptional items) of revenues for the year ended 31 December 2020 compared to 15.5% of revenues for the year ended 31 December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887"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income and expense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ind w:left="740"/>
              <w:spacing w:after="0"/>
              <w:rPr>
                <w:sz w:val="20"/>
                <w:szCs w:val="20"/>
                <w:color w:val="auto"/>
              </w:rPr>
            </w:pPr>
            <w:r>
              <w:rPr>
                <w:rFonts w:ascii="Arial" w:cs="Arial" w:eastAsia="Arial" w:hAnsi="Arial"/>
                <w:sz w:val="13"/>
                <w:szCs w:val="13"/>
                <w:b w:val="1"/>
                <w:bCs w:val="1"/>
                <w:color w:val="auto"/>
              </w:rPr>
              <w:t>Year Ended</w:t>
            </w: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Change</w:t>
            </w: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3"/>
                <w:szCs w:val="13"/>
                <w:b w:val="1"/>
                <w:bCs w:val="1"/>
                <w:color w:val="auto"/>
              </w:rPr>
              <w:t>31 December</w:t>
            </w:r>
          </w:p>
        </w:tc>
        <w:tc>
          <w:tcPr>
            <w:tcW w:w="9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vMerge w:val="continue"/>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13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Financing income</w:t>
            </w: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2,724</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6,859</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86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(4,135)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(60.3 %)</w:t>
            </w:r>
          </w:p>
        </w:tc>
        <w:tc>
          <w:tcPr>
            <w:tcW w:w="0" w:type="dxa"/>
            <w:vAlign w:val="bottom"/>
          </w:tcPr>
          <w:p>
            <w:pPr>
              <w:spacing w:after="0"/>
              <w:rPr>
                <w:sz w:val="1"/>
                <w:szCs w:val="1"/>
                <w:color w:val="auto"/>
              </w:rPr>
            </w:pPr>
          </w:p>
        </w:tc>
      </w:tr>
      <w:tr>
        <w:trPr>
          <w:trHeight w:val="165"/>
        </w:trPr>
        <w:tc>
          <w:tcPr>
            <w:tcW w:w="4240" w:type="dxa"/>
            <w:vAlign w:val="bottom"/>
          </w:tcPr>
          <w:p>
            <w:pPr>
              <w:ind w:left="20"/>
              <w:spacing w:after="0"/>
              <w:rPr>
                <w:sz w:val="20"/>
                <w:szCs w:val="20"/>
                <w:color w:val="auto"/>
              </w:rPr>
            </w:pPr>
            <w:r>
              <w:rPr>
                <w:rFonts w:ascii="Arial" w:cs="Arial" w:eastAsia="Arial" w:hAnsi="Arial"/>
                <w:sz w:val="13"/>
                <w:szCs w:val="13"/>
                <w:color w:val="auto"/>
              </w:rPr>
              <w:t>Financing expense</w:t>
            </w:r>
          </w:p>
        </w:tc>
        <w:tc>
          <w:tcPr>
            <w:tcW w:w="6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(12,147)</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(24,625)</w:t>
            </w: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1860" w:type="dxa"/>
            <w:vAlign w:val="bottom"/>
          </w:tcPr>
          <w:p>
            <w:pPr>
              <w:jc w:val="right"/>
              <w:ind w:right="596"/>
              <w:spacing w:after="0"/>
              <w:rPr>
                <w:sz w:val="20"/>
                <w:szCs w:val="20"/>
                <w:color w:val="auto"/>
              </w:rPr>
            </w:pPr>
            <w:r>
              <w:rPr>
                <w:rFonts w:ascii="Arial" w:cs="Arial" w:eastAsia="Arial" w:hAnsi="Arial"/>
                <w:sz w:val="13"/>
                <w:szCs w:val="13"/>
                <w:color w:val="auto"/>
              </w:rPr>
              <w:t>12,478</w:t>
            </w:r>
          </w:p>
        </w:tc>
        <w:tc>
          <w:tcPr>
            <w:tcW w:w="1280" w:type="dxa"/>
            <w:vAlign w:val="bottom"/>
          </w:tcPr>
          <w:p>
            <w:pPr>
              <w:jc w:val="right"/>
              <w:spacing w:after="0"/>
              <w:rPr>
                <w:sz w:val="20"/>
                <w:szCs w:val="20"/>
                <w:color w:val="auto"/>
              </w:rPr>
            </w:pPr>
            <w:r>
              <w:rPr>
                <w:rFonts w:ascii="Arial" w:cs="Arial" w:eastAsia="Arial" w:hAnsi="Arial"/>
                <w:sz w:val="13"/>
                <w:szCs w:val="13"/>
                <w:color w:val="auto"/>
              </w:rPr>
              <w:t>(50.7 %)</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Financing expense for the period decreased to $12.1 million for the year ended 31 December 2020 from $24.6 million for the year ended 31 December 2019. This is due largely to the remeasurement of the gross obligation under put option of $11.3 million</w:t>
      </w:r>
      <w:r>
        <w:rPr>
          <w:rFonts w:ascii="Arial" w:cs="Arial" w:eastAsia="Arial" w:hAnsi="Arial"/>
          <w:sz w:val="13"/>
          <w:szCs w:val="13"/>
          <w:i w:val="1"/>
          <w:iCs w:val="1"/>
          <w:color w:val="auto"/>
        </w:rPr>
        <w:t>.</w:t>
      </w:r>
      <w:r>
        <w:rPr>
          <w:rFonts w:ascii="Arial" w:cs="Arial" w:eastAsia="Arial" w:hAnsi="Arial"/>
          <w:sz w:val="13"/>
          <w:szCs w:val="13"/>
          <w:color w:val="auto"/>
        </w:rPr>
        <w:t xml:space="preserve"> Financing income for the year decreased to $2.7 million for the year ended 31 December 2020 from $6.9 million for the year ended 31 December 2019. This reflects reduced returns on cash and cash equivalents.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center"/>
              <w:ind w:left="256"/>
              <w:spacing w:after="0"/>
              <w:rPr>
                <w:sz w:val="20"/>
                <w:szCs w:val="20"/>
                <w:color w:val="auto"/>
              </w:rPr>
            </w:pPr>
            <w:r>
              <w:rPr>
                <w:rFonts w:ascii="Arial" w:cs="Arial" w:eastAsia="Arial" w:hAnsi="Arial"/>
                <w:sz w:val="13"/>
                <w:szCs w:val="13"/>
                <w:b w:val="1"/>
                <w:bCs w:val="1"/>
                <w:color w:val="auto"/>
                <w:w w:val="97"/>
              </w:rPr>
              <w:t>Year Ended</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4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Change</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gridSpan w:val="2"/>
            <w:shd w:val="clear" w:color="auto" w:fill="CCEEFF"/>
          </w:tcPr>
          <w:p>
            <w:pPr>
              <w:jc w:val="center"/>
              <w:ind w:left="256"/>
              <w:spacing w:after="0"/>
              <w:rPr>
                <w:sz w:val="20"/>
                <w:szCs w:val="20"/>
                <w:color w:val="auto"/>
              </w:rPr>
            </w:pPr>
            <w:r>
              <w:rPr>
                <w:rFonts w:ascii="Arial" w:cs="Arial" w:eastAsia="Arial" w:hAnsi="Arial"/>
                <w:sz w:val="13"/>
                <w:szCs w:val="13"/>
                <w:b w:val="1"/>
                <w:bCs w:val="1"/>
                <w:color w:val="auto"/>
                <w:w w:val="96"/>
              </w:rPr>
              <w:t>31 December</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8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1336"/>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50,753</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57,332</w:t>
            </w: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(6,579)</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(11.5 %)</w:t>
            </w:r>
          </w:p>
        </w:tc>
        <w:tc>
          <w:tcPr>
            <w:tcW w:w="0" w:type="dxa"/>
            <w:vAlign w:val="bottom"/>
          </w:tcPr>
          <w:p>
            <w:pPr>
              <w:spacing w:after="0"/>
              <w:rPr>
                <w:sz w:val="1"/>
                <w:szCs w:val="1"/>
                <w:color w:val="auto"/>
              </w:rPr>
            </w:pPr>
          </w:p>
        </w:tc>
      </w:tr>
      <w:tr>
        <w:trPr>
          <w:trHeight w:val="165"/>
        </w:trPr>
        <w:tc>
          <w:tcPr>
            <w:tcW w:w="4140" w:type="dxa"/>
            <w:vAlign w:val="bottom"/>
          </w:tcPr>
          <w:p>
            <w:pPr>
              <w:ind w:left="20"/>
              <w:spacing w:after="0"/>
              <w:rPr>
                <w:sz w:val="20"/>
                <w:szCs w:val="20"/>
                <w:color w:val="auto"/>
              </w:rPr>
            </w:pPr>
            <w:r>
              <w:rPr>
                <w:rFonts w:ascii="Arial" w:cs="Arial" w:eastAsia="Arial" w:hAnsi="Arial"/>
                <w:sz w:val="13"/>
                <w:szCs w:val="13"/>
                <w:color w:val="auto"/>
              </w:rPr>
              <w:t>Effective income tax rate</w:t>
            </w:r>
          </w:p>
        </w:tc>
        <w:tc>
          <w:tcPr>
            <w:tcW w:w="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13.3 %</w:t>
            </w:r>
          </w:p>
        </w:tc>
        <w:tc>
          <w:tcPr>
            <w:tcW w:w="8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13.7 %</w:t>
            </w: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Income tax expense for the period decreased to $50.8 million for the year ended 31 December 2020 from $57.3 million for the year ended 31 December 2019. The Group’s effective tax rate for the year ended 31 December 2020 was 13.3% (13.2% excluding the effect of exceptional items) compared with 13.7% for the year ended 31 December 2019. The Group’s effective tax rate is principally a function of the distribution of pre-tax profits in the territories in which it operates.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and uncertainties</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Under Irish Company Law (Section 327 of the Companies Act 2014 ‘the Companies Act’), the Directors are required to give a description of the principal risks and uncertainties which it faced at 31 December 2020. Details of the principal risks and uncertainties facing the Group are set out in Appendix A of this annual report and form an integral part of the Directors’ Report.</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 management</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the minimisation of financial risk at reasonable cost. The Group’s financial instruments comprise cash and cash equivalents, current asset investments, finance lease obligations and negotiated debt facilities. The main purpose of these financial instruments is to fund the working capital requirements of the Group, the cost of new acquisitions and continued growth. The Group also uses derivative financial instruments to reduce exposure to fluctuations in foreign exchange rates. The principal financial risk facing the Group is foreign exchange risk. Other financial risks include interest rate risk, credit risk and liquidity risk. Further details of which are set out in </w:t>
      </w:r>
      <w:r>
        <w:rPr>
          <w:rFonts w:ascii="Arial" w:cs="Arial" w:eastAsia="Arial" w:hAnsi="Arial"/>
          <w:sz w:val="13"/>
          <w:szCs w:val="13"/>
          <w:i w:val="1"/>
          <w:iCs w:val="1"/>
          <w:color w:val="auto"/>
        </w:rPr>
        <w:t xml:space="preserve">note 26 </w:t>
      </w:r>
      <w:r>
        <w:rPr>
          <w:rFonts w:ascii="Arial" w:cs="Arial" w:eastAsia="Arial" w:hAnsi="Arial"/>
          <w:sz w:val="13"/>
          <w:szCs w:val="13"/>
          <w:color w:val="auto"/>
        </w:rPr>
        <w:t>to the Consolidated Financial Statements and</w:t>
      </w:r>
      <w:r>
        <w:rPr>
          <w:rFonts w:ascii="Arial" w:cs="Arial" w:eastAsia="Arial" w:hAnsi="Arial"/>
          <w:sz w:val="13"/>
          <w:szCs w:val="13"/>
          <w:i w:val="1"/>
          <w:iCs w:val="1"/>
          <w:color w:val="auto"/>
        </w:rPr>
        <w:t xml:space="preserve"> note 11 </w:t>
      </w:r>
      <w:r>
        <w:rPr>
          <w:rFonts w:ascii="Arial" w:cs="Arial" w:eastAsia="Arial" w:hAnsi="Arial"/>
          <w:sz w:val="13"/>
          <w:szCs w:val="13"/>
          <w:color w:val="auto"/>
        </w:rPr>
        <w:t>to the Company Financial Statements. The Group does not undertake any trading activity in financial instruments nor does it enter into</w:t>
      </w:r>
      <w:r>
        <w:rPr>
          <w:rFonts w:ascii="Arial" w:cs="Arial" w:eastAsia="Arial" w:hAnsi="Arial"/>
          <w:sz w:val="13"/>
          <w:szCs w:val="13"/>
          <w:i w:val="1"/>
          <w:iCs w:val="1"/>
          <w:color w:val="auto"/>
        </w:rPr>
        <w:t xml:space="preserve"> </w:t>
      </w:r>
      <w:r>
        <w:rPr>
          <w:rFonts w:ascii="Arial" w:cs="Arial" w:eastAsia="Arial" w:hAnsi="Arial"/>
          <w:sz w:val="13"/>
          <w:szCs w:val="13"/>
          <w:color w:val="auto"/>
        </w:rPr>
        <w:t>any leveraged derivative transactions. The Group treasury function centrally manages the Group’s funding and liquidity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The Group maintains both committed and uncommitted credit lines with its relationship banks.</w:t>
      </w:r>
    </w:p>
    <w:p>
      <w:pPr>
        <w:spacing w:after="0" w:line="179"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auto"/>
        </w:rPr>
        <w:t>On 15 December 2015, the Company issued through its subsidiary ICON Investments Five Unlimited Company (the "Issuer") Senior Notes for aggregate gross proceeds of $350 million through a private placement ('2015 Senior Notes'). The interest rate on the 2015 Senior Notes was fixed at 3.64% and was payable semi-annually. The 2015 Senior Notes matured on December 15, 2020 and this debt was repaid in full.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887"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On 8 December 2020, ICON Investments Five Unlimited Company issued new senior notes ('2020 Senior Notes') for aggregate gross proceeds of $350.0 million in a private placement which was guaranteed by ICON plc and ICON Global Treasury Unlimited Company, a subsidiary of the Company. The 2020 Senior Notes were issued in two tranches; Series A Notes of $275.0 million which will mature on 8 December 2023 and Series B Notes of $75.0 million which will mature on 8 December 2025. Interest payable on the 2020 Senior Notes is fixed at 2.32% and 2.43% for Series A Notes and Series B Notes, respectively. The Notes have not been, and will not be, registered under the Securities Act of 1933, as amended, and may not be offered or sold in the United States absent registration or an applicable exemption from registration requirements.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The Group entered into an interest rate hedge in respect of the planned issuance of the 2020 Senior Notes in June 2020 which matured on 9 July 2020 when the interest rates on the issue of the 2020 Senior Notes were fixed resulting in a realised loss of $0.9 million. The realised loss is amortised to the Consolidated Statement of Profit and Loss over the term of the hedge resulting in an increase to the interest payable expense on the notes. This interest rate hedge qualified for hedge accounting under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xml:space="preserve">. Further details on financing are set out in </w:t>
      </w:r>
      <w:r>
        <w:rPr>
          <w:rFonts w:ascii="Arial" w:cs="Arial" w:eastAsia="Arial" w:hAnsi="Arial"/>
          <w:sz w:val="13"/>
          <w:szCs w:val="13"/>
          <w:i w:val="1"/>
          <w:iCs w:val="1"/>
          <w:color w:val="auto"/>
        </w:rPr>
        <w:t>note 23</w:t>
      </w:r>
      <w:r>
        <w:rPr>
          <w:rFonts w:ascii="Arial" w:cs="Arial" w:eastAsia="Arial" w:hAnsi="Arial"/>
          <w:sz w:val="13"/>
          <w:szCs w:val="13"/>
          <w:color w:val="auto"/>
        </w:rPr>
        <w:t xml:space="preserve"> to the Consolidated Financial Statements.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regularly evaluate our debt arrangements, as well as market conditions, and during the year we will explore the opportunity to modify our existing arrangements or pursue additional financing arrangements that may result in the issuance of new debt securities by us or our affiliates.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subsequent events are set out in </w:t>
      </w:r>
      <w:r>
        <w:rPr>
          <w:rFonts w:ascii="Arial" w:cs="Arial" w:eastAsia="Arial" w:hAnsi="Arial"/>
          <w:sz w:val="13"/>
          <w:szCs w:val="13"/>
          <w:i w:val="1"/>
          <w:iCs w:val="1"/>
          <w:color w:val="auto"/>
        </w:rPr>
        <w:t>note 31</w:t>
      </w:r>
      <w:r>
        <w:rPr>
          <w:rFonts w:ascii="Arial" w:cs="Arial" w:eastAsia="Arial" w:hAnsi="Arial"/>
          <w:sz w:val="13"/>
          <w:szCs w:val="13"/>
          <w:color w:val="auto"/>
        </w:rPr>
        <w:t xml:space="preserve"> to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members of the Board of Directors during the year are included in </w:t>
      </w:r>
      <w:r>
        <w:rPr>
          <w:rFonts w:ascii="Arial" w:cs="Arial" w:eastAsia="Arial" w:hAnsi="Arial"/>
          <w:sz w:val="13"/>
          <w:szCs w:val="13"/>
          <w:i w:val="1"/>
          <w:iCs w:val="1"/>
          <w:color w:val="auto"/>
        </w:rPr>
        <w:t>note 9</w:t>
      </w:r>
      <w:r>
        <w:rPr>
          <w:rFonts w:ascii="Arial" w:cs="Arial" w:eastAsia="Arial" w:hAnsi="Arial"/>
          <w:sz w:val="13"/>
          <w:szCs w:val="13"/>
          <w:color w:val="auto"/>
        </w:rPr>
        <w:t xml:space="preserve"> to the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information concerning the composition of the Company’s Board committees as of 31 December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824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3"/>
                <w:szCs w:val="13"/>
                <w:b w:val="1"/>
                <w:bCs w:val="1"/>
                <w:color w:val="auto"/>
              </w:rPr>
              <w:t>Position</w:t>
            </w:r>
          </w:p>
        </w:tc>
      </w:tr>
      <w:tr>
        <w:trPr>
          <w:trHeight w:val="174"/>
        </w:trPr>
        <w:tc>
          <w:tcPr>
            <w:tcW w:w="3040" w:type="dxa"/>
            <w:vAlign w:val="bottom"/>
          </w:tcPr>
          <w:p>
            <w:pPr>
              <w:ind w:left="20"/>
              <w:spacing w:after="0"/>
              <w:rPr>
                <w:sz w:val="20"/>
                <w:szCs w:val="20"/>
                <w:color w:val="auto"/>
              </w:rPr>
            </w:pPr>
            <w:r>
              <w:rPr>
                <w:rFonts w:ascii="Arial" w:cs="Arial" w:eastAsia="Arial" w:hAnsi="Arial"/>
                <w:sz w:val="13"/>
                <w:szCs w:val="13"/>
                <w:color w:val="auto"/>
              </w:rPr>
              <w:t>Ciaran Murray</w:t>
            </w:r>
          </w:p>
        </w:tc>
        <w:tc>
          <w:tcPr>
            <w:tcW w:w="8240" w:type="dxa"/>
            <w:vAlign w:val="bottom"/>
          </w:tcPr>
          <w:p>
            <w:pPr>
              <w:ind w:left="1540"/>
              <w:spacing w:after="0"/>
              <w:rPr>
                <w:sz w:val="20"/>
                <w:szCs w:val="20"/>
                <w:color w:val="auto"/>
              </w:rPr>
            </w:pPr>
            <w:r>
              <w:rPr>
                <w:rFonts w:ascii="Arial" w:cs="Arial" w:eastAsia="Arial" w:hAnsi="Arial"/>
                <w:sz w:val="13"/>
                <w:szCs w:val="13"/>
                <w:color w:val="auto"/>
              </w:rPr>
              <w:t>Chair and Director</w:t>
            </w:r>
          </w:p>
        </w:tc>
      </w:tr>
      <w:tr>
        <w:trPr>
          <w:trHeight w:val="199"/>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Dr. Steve Cutler </w:t>
            </w:r>
            <w:r>
              <w:rPr>
                <w:rFonts w:ascii="Arial" w:cs="Arial" w:eastAsia="Arial" w:hAnsi="Arial"/>
                <w:sz w:val="16"/>
                <w:szCs w:val="16"/>
                <w:color w:val="auto"/>
                <w:vertAlign w:val="superscript"/>
              </w:rPr>
              <w:t>(1)(5)</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Chief Executive Officer and Director</w:t>
            </w:r>
          </w:p>
        </w:tc>
      </w:tr>
      <w:tr>
        <w:trPr>
          <w:trHeight w:val="191"/>
        </w:trPr>
        <w:tc>
          <w:tcPr>
            <w:tcW w:w="3040" w:type="dxa"/>
            <w:vAlign w:val="bottom"/>
          </w:tcPr>
          <w:p>
            <w:pPr>
              <w:ind w:left="20"/>
              <w:spacing w:after="0"/>
              <w:rPr>
                <w:sz w:val="20"/>
                <w:szCs w:val="20"/>
                <w:color w:val="auto"/>
              </w:rPr>
            </w:pPr>
            <w:r>
              <w:rPr>
                <w:rFonts w:ascii="Arial" w:cs="Arial" w:eastAsia="Arial" w:hAnsi="Arial"/>
                <w:sz w:val="13"/>
                <w:szCs w:val="13"/>
                <w:color w:val="auto"/>
              </w:rPr>
              <w:t xml:space="preserve">Rónán Murphy </w:t>
            </w:r>
            <w:r>
              <w:rPr>
                <w:rFonts w:ascii="Arial" w:cs="Arial" w:eastAsia="Arial" w:hAnsi="Arial"/>
                <w:sz w:val="16"/>
                <w:szCs w:val="16"/>
                <w:color w:val="auto"/>
                <w:vertAlign w:val="superscript"/>
              </w:rPr>
              <w:t>(2)(3)(5)</w:t>
            </w:r>
          </w:p>
        </w:tc>
        <w:tc>
          <w:tcPr>
            <w:tcW w:w="8240" w:type="dxa"/>
            <w:vAlign w:val="bottom"/>
          </w:tcPr>
          <w:p>
            <w:pPr>
              <w:ind w:left="1540"/>
              <w:spacing w:after="0"/>
              <w:rPr>
                <w:sz w:val="20"/>
                <w:szCs w:val="20"/>
                <w:color w:val="auto"/>
              </w:rPr>
            </w:pPr>
            <w:r>
              <w:rPr>
                <w:rFonts w:ascii="Arial" w:cs="Arial" w:eastAsia="Arial" w:hAnsi="Arial"/>
                <w:sz w:val="13"/>
                <w:szCs w:val="13"/>
                <w:color w:val="auto"/>
              </w:rPr>
              <w:t>Director</w:t>
            </w:r>
          </w:p>
        </w:tc>
      </w:tr>
      <w:tr>
        <w:trPr>
          <w:trHeight w:val="170"/>
        </w:trPr>
        <w:tc>
          <w:tcPr>
            <w:tcW w:w="30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Professor Hugh Brady </w:t>
            </w:r>
            <w:r>
              <w:rPr>
                <w:rFonts w:ascii="Arial" w:cs="Arial" w:eastAsia="Arial" w:hAnsi="Arial"/>
                <w:sz w:val="16"/>
                <w:szCs w:val="16"/>
                <w:color w:val="auto"/>
                <w:vertAlign w:val="superscript"/>
              </w:rPr>
              <w:t>(3)</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Director</w:t>
            </w:r>
          </w:p>
        </w:tc>
      </w:tr>
      <w:tr>
        <w:trPr>
          <w:trHeight w:val="183"/>
        </w:trPr>
        <w:tc>
          <w:tcPr>
            <w:tcW w:w="304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8240" w:type="dxa"/>
            <w:vAlign w:val="bottom"/>
          </w:tcPr>
          <w:p>
            <w:pPr>
              <w:ind w:left="1540"/>
              <w:spacing w:after="0"/>
              <w:rPr>
                <w:sz w:val="20"/>
                <w:szCs w:val="20"/>
                <w:color w:val="auto"/>
              </w:rPr>
            </w:pPr>
            <w:r>
              <w:rPr>
                <w:rFonts w:ascii="Arial" w:cs="Arial" w:eastAsia="Arial" w:hAnsi="Arial"/>
                <w:sz w:val="13"/>
                <w:szCs w:val="13"/>
                <w:color w:val="auto"/>
              </w:rPr>
              <w:t>Director</w:t>
            </w:r>
          </w:p>
        </w:tc>
      </w:tr>
      <w:tr>
        <w:trPr>
          <w:trHeight w:val="177"/>
        </w:trPr>
        <w:tc>
          <w:tcPr>
            <w:tcW w:w="3040" w:type="dxa"/>
            <w:vAlign w:val="bottom"/>
            <w:shd w:val="clear" w:color="auto" w:fill="CCEEFF"/>
          </w:tcPr>
          <w:p>
            <w:pPr>
              <w:ind w:left="20"/>
              <w:spacing w:after="0" w:line="178" w:lineRule="exact"/>
              <w:rPr>
                <w:sz w:val="20"/>
                <w:szCs w:val="20"/>
                <w:color w:val="auto"/>
              </w:rPr>
            </w:pPr>
            <w:r>
              <w:rPr>
                <w:rFonts w:ascii="Arial" w:cs="Arial" w:eastAsia="Arial" w:hAnsi="Arial"/>
                <w:sz w:val="13"/>
                <w:szCs w:val="13"/>
                <w:color w:val="auto"/>
              </w:rPr>
              <w:t xml:space="preserve">Joan Garahy </w:t>
            </w:r>
            <w:r>
              <w:rPr>
                <w:rFonts w:ascii="Arial" w:cs="Arial" w:eastAsia="Arial" w:hAnsi="Arial"/>
                <w:sz w:val="16"/>
                <w:szCs w:val="16"/>
                <w:color w:val="auto"/>
                <w:vertAlign w:val="superscript"/>
              </w:rPr>
              <w:t>(2)(4)</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Director</w:t>
            </w:r>
          </w:p>
        </w:tc>
      </w:tr>
      <w:tr>
        <w:trPr>
          <w:trHeight w:val="191"/>
        </w:trPr>
        <w:tc>
          <w:tcPr>
            <w:tcW w:w="3040" w:type="dxa"/>
            <w:vAlign w:val="bottom"/>
          </w:tcPr>
          <w:p>
            <w:pPr>
              <w:ind w:left="20"/>
              <w:spacing w:after="0"/>
              <w:rPr>
                <w:sz w:val="20"/>
                <w:szCs w:val="20"/>
                <w:color w:val="auto"/>
              </w:rPr>
            </w:pPr>
            <w:r>
              <w:rPr>
                <w:rFonts w:ascii="Arial" w:cs="Arial" w:eastAsia="Arial" w:hAnsi="Arial"/>
                <w:sz w:val="13"/>
                <w:szCs w:val="13"/>
                <w:color w:val="auto"/>
              </w:rPr>
              <w:t xml:space="preserve">Professor William Hall </w:t>
            </w:r>
            <w:r>
              <w:rPr>
                <w:rFonts w:ascii="Arial" w:cs="Arial" w:eastAsia="Arial" w:hAnsi="Arial"/>
                <w:sz w:val="16"/>
                <w:szCs w:val="16"/>
                <w:color w:val="auto"/>
                <w:vertAlign w:val="superscript"/>
              </w:rPr>
              <w:t>(2)(4)</w:t>
            </w:r>
          </w:p>
        </w:tc>
        <w:tc>
          <w:tcPr>
            <w:tcW w:w="8240" w:type="dxa"/>
            <w:vAlign w:val="bottom"/>
          </w:tcPr>
          <w:p>
            <w:pPr>
              <w:ind w:left="1540"/>
              <w:spacing w:after="0"/>
              <w:rPr>
                <w:sz w:val="20"/>
                <w:szCs w:val="20"/>
                <w:color w:val="auto"/>
              </w:rPr>
            </w:pPr>
            <w:r>
              <w:rPr>
                <w:rFonts w:ascii="Arial" w:cs="Arial" w:eastAsia="Arial" w:hAnsi="Arial"/>
                <w:sz w:val="13"/>
                <w:szCs w:val="13"/>
                <w:color w:val="auto"/>
              </w:rPr>
              <w:t>Director</w:t>
            </w:r>
          </w:p>
        </w:tc>
      </w:tr>
      <w:tr>
        <w:trPr>
          <w:trHeight w:val="170"/>
        </w:trPr>
        <w:tc>
          <w:tcPr>
            <w:tcW w:w="30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Eugene McCague </w:t>
            </w:r>
            <w:r>
              <w:rPr>
                <w:rFonts w:ascii="Arial" w:cs="Arial" w:eastAsia="Arial" w:hAnsi="Arial"/>
                <w:sz w:val="16"/>
                <w:szCs w:val="16"/>
                <w:color w:val="auto"/>
                <w:vertAlign w:val="superscript"/>
              </w:rPr>
              <w:t>(3)(4)</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Director</w:t>
            </w:r>
          </w:p>
        </w:tc>
      </w:tr>
      <w:tr>
        <w:trPr>
          <w:trHeight w:val="183"/>
        </w:trPr>
        <w:tc>
          <w:tcPr>
            <w:tcW w:w="3040" w:type="dxa"/>
            <w:vAlign w:val="bottom"/>
          </w:tcPr>
          <w:p>
            <w:pPr>
              <w:ind w:left="20"/>
              <w:spacing w:after="0"/>
              <w:rPr>
                <w:sz w:val="20"/>
                <w:szCs w:val="20"/>
                <w:color w:val="auto"/>
              </w:rPr>
            </w:pPr>
            <w:r>
              <w:rPr>
                <w:rFonts w:ascii="Arial" w:cs="Arial" w:eastAsia="Arial" w:hAnsi="Arial"/>
                <w:sz w:val="13"/>
                <w:szCs w:val="13"/>
                <w:color w:val="auto"/>
              </w:rPr>
              <w:t>Julie O'Neill</w:t>
            </w:r>
          </w:p>
        </w:tc>
        <w:tc>
          <w:tcPr>
            <w:tcW w:w="8240" w:type="dxa"/>
            <w:vAlign w:val="bottom"/>
          </w:tcPr>
          <w:p>
            <w:pPr>
              <w:ind w:left="1540"/>
              <w:spacing w:after="0"/>
              <w:rPr>
                <w:sz w:val="20"/>
                <w:szCs w:val="20"/>
                <w:color w:val="auto"/>
              </w:rPr>
            </w:pPr>
            <w:r>
              <w:rPr>
                <w:rFonts w:ascii="Arial" w:cs="Arial" w:eastAsia="Arial" w:hAnsi="Arial"/>
                <w:sz w:val="13"/>
                <w:szCs w:val="13"/>
                <w:color w:val="auto"/>
              </w:rPr>
              <w:t>Director</w:t>
            </w:r>
          </w:p>
        </w:tc>
      </w:tr>
      <w:tr>
        <w:trPr>
          <w:trHeight w:val="199"/>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Mary Pendergast </w:t>
            </w:r>
            <w:r>
              <w:rPr>
                <w:rFonts w:ascii="Arial" w:cs="Arial" w:eastAsia="Arial" w:hAnsi="Arial"/>
                <w:sz w:val="16"/>
                <w:szCs w:val="16"/>
                <w:color w:val="auto"/>
                <w:vertAlign w:val="superscript"/>
              </w:rPr>
              <w:t>(2)</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Director</w:t>
            </w:r>
          </w:p>
        </w:tc>
      </w:tr>
    </w:tbl>
    <w:p>
      <w:pPr>
        <w:spacing w:after="0" w:line="39" w:lineRule="exact"/>
        <w:rPr>
          <w:sz w:val="20"/>
          <w:szCs w:val="20"/>
          <w:color w:val="auto"/>
        </w:rPr>
      </w:pPr>
    </w:p>
    <w:p>
      <w:pPr>
        <w:ind w:left="260" w:hanging="255"/>
        <w:spacing w:after="0"/>
        <w:tabs>
          <w:tab w:leader="none" w:pos="26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Executive Officer of the Company.</w:t>
      </w:r>
    </w:p>
    <w:p>
      <w:pPr>
        <w:ind w:left="260" w:hanging="255"/>
        <w:spacing w:after="0" w:line="182" w:lineRule="auto"/>
        <w:tabs>
          <w:tab w:leader="none" w:pos="26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Member of Compensation and Organisation Committee.</w:t>
      </w:r>
    </w:p>
    <w:p>
      <w:pPr>
        <w:ind w:left="260" w:hanging="255"/>
        <w:spacing w:after="0" w:line="182" w:lineRule="auto"/>
        <w:tabs>
          <w:tab w:leader="none" w:pos="26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Member of Audit Committee.</w:t>
      </w:r>
    </w:p>
    <w:p>
      <w:pPr>
        <w:ind w:left="260" w:hanging="255"/>
        <w:spacing w:after="0" w:line="182" w:lineRule="auto"/>
        <w:tabs>
          <w:tab w:leader="none" w:pos="26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Member of Nominating and Governance Committee.</w:t>
      </w:r>
    </w:p>
    <w:p>
      <w:pPr>
        <w:ind w:left="260" w:hanging="255"/>
        <w:spacing w:after="0" w:line="188" w:lineRule="auto"/>
        <w:tabs>
          <w:tab w:leader="none" w:pos="26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Member of Execution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Details required by Companies Act 2014, section 329, of Directors’ interests in the Group’s shares are set out in </w:t>
      </w:r>
      <w:r>
        <w:rPr>
          <w:rFonts w:ascii="Arial" w:cs="Arial" w:eastAsia="Arial" w:hAnsi="Arial"/>
          <w:sz w:val="12"/>
          <w:szCs w:val="12"/>
          <w:i w:val="1"/>
          <w:iCs w:val="1"/>
          <w:color w:val="auto"/>
        </w:rPr>
        <w:t>note 9</w:t>
      </w:r>
      <w:r>
        <w:rPr>
          <w:rFonts w:ascii="Arial" w:cs="Arial" w:eastAsia="Arial" w:hAnsi="Arial"/>
          <w:sz w:val="12"/>
          <w:szCs w:val="12"/>
          <w:color w:val="auto"/>
        </w:rPr>
        <w:t xml:space="preserve"> to the Consolidated Financial Statements. All Directors served for the entire year.</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the Directors’ remuneration and interests are set out in </w:t>
      </w:r>
      <w:r>
        <w:rPr>
          <w:rFonts w:ascii="Arial" w:cs="Arial" w:eastAsia="Arial" w:hAnsi="Arial"/>
          <w:sz w:val="13"/>
          <w:szCs w:val="13"/>
          <w:i w:val="1"/>
          <w:iCs w:val="1"/>
          <w:color w:val="auto"/>
        </w:rPr>
        <w:t>notes 3</w:t>
      </w:r>
      <w:r>
        <w:rPr>
          <w:rFonts w:ascii="Arial" w:cs="Arial" w:eastAsia="Arial" w:hAnsi="Arial"/>
          <w:sz w:val="13"/>
          <w:szCs w:val="13"/>
          <w:color w:val="auto"/>
        </w:rPr>
        <w:t xml:space="preserve"> and </w:t>
      </w:r>
      <w:r>
        <w:rPr>
          <w:rFonts w:ascii="Arial" w:cs="Arial" w:eastAsia="Arial" w:hAnsi="Arial"/>
          <w:sz w:val="13"/>
          <w:szCs w:val="13"/>
          <w:i w:val="1"/>
          <w:iCs w:val="1"/>
          <w:color w:val="auto"/>
        </w:rPr>
        <w:t>9</w:t>
      </w:r>
      <w:r>
        <w:rPr>
          <w:rFonts w:ascii="Arial" w:cs="Arial" w:eastAsia="Arial" w:hAnsi="Arial"/>
          <w:sz w:val="13"/>
          <w:szCs w:val="13"/>
          <w:color w:val="auto"/>
        </w:rPr>
        <w:t xml:space="preserve"> to the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887"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power to purchase and allot company shares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Subject to the provisions of the Companies Act 2014,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A resolution was passed at the Company’s Annual General Meeting (“AGM”) on 22 July 2016, which authorised the Directors to purchase (buyback) up to 10% of the outstanding shares in the Company. This authorisation was renewed at the Company's AGM on each of 25 July 2017, 24 July 2018, 23 July 2019 and 21 July 2020. On 3 October 2016, the Company commenced a share buyback programme of up to $400 million. The share buyback programme was completed during the year ended 31 December 2018 with a total of 4,026,576 ordinary shares redeemed for a total consideration of $372.1 million. On 8 January 2019, the Company commenced a further share buyback programme of up to 1.0 million ordinary shares which was completed during the year ended 31 December 2019. These shares were redeemed by the Company for a total consideration of $141.6 million. On 22 October 2019, the Company commenced a further share buyback programme. At 31 December 2019, 35,100 ordinary shares were redeemed by the Company under this programme for a total consideration of $5.3 million. During the year ended 31 December 2020 1,235,218 ordinary shares were redeemed by the Company under this buyback programme for a total consideration of $175.0 million.</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ordinary shares that are redeemed under the buyback programme will be cancelled in accordance with the constitutional documents of the Company and the nominal value of these shares transferred to an undenominated capital fund as required under Irish Company law.</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Rights and Obligations attaching to the Company’s shares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authorised share capital of the Company is €6,000,000 divided into 100,000,000 ordinary shares of €0.06 at 31 December 2020.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all assets available for distribution will be paid out to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of control</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Certain of the Group’s customer contracts allow the customer to terminate the contract in the event of a change in control of the Company.</w:t>
      </w:r>
    </w:p>
    <w:p>
      <w:pPr>
        <w:jc w:val="both"/>
        <w:spacing w:after="0" w:line="244" w:lineRule="auto"/>
        <w:rPr>
          <w:sz w:val="20"/>
          <w:szCs w:val="20"/>
          <w:color w:val="auto"/>
        </w:rPr>
      </w:pPr>
      <w:r>
        <w:rPr>
          <w:rFonts w:ascii="Arial" w:cs="Arial" w:eastAsia="Arial" w:hAnsi="Arial"/>
          <w:sz w:val="13"/>
          <w:szCs w:val="13"/>
          <w:color w:val="auto"/>
        </w:rPr>
        <w:t xml:space="preserve">The Group has negotiated a banking facility with a number of financial institutions, details of which are set out in </w:t>
      </w:r>
      <w:r>
        <w:rPr>
          <w:rFonts w:ascii="Arial" w:cs="Arial" w:eastAsia="Arial" w:hAnsi="Arial"/>
          <w:sz w:val="13"/>
          <w:szCs w:val="13"/>
          <w:i w:val="1"/>
          <w:iCs w:val="1"/>
          <w:color w:val="auto"/>
        </w:rPr>
        <w:t>note 23</w:t>
      </w:r>
      <w:r>
        <w:rPr>
          <w:rFonts w:ascii="Arial" w:cs="Arial" w:eastAsia="Arial" w:hAnsi="Arial"/>
          <w:sz w:val="13"/>
          <w:szCs w:val="13"/>
          <w:color w:val="auto"/>
        </w:rPr>
        <w:t xml:space="preserve"> to the Consolidated Financial Statements. This facility requires repayment in the event that the Company becomes controlled by any person or persons acting in concert by whom it was not controlled at the date the facility was entered into.</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887"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auto"/>
        </w:rPr>
        <w:t>The exemptions that the Company relies on, and the practices the Company adheres to, are as follows:</w:t>
      </w:r>
    </w:p>
    <w:p>
      <w:pPr>
        <w:spacing w:after="0" w:line="190" w:lineRule="exact"/>
        <w:rPr>
          <w:sz w:val="20"/>
          <w:szCs w:val="20"/>
          <w:color w:val="auto"/>
        </w:rPr>
      </w:pPr>
    </w:p>
    <w:p>
      <w:pPr>
        <w:jc w:val="both"/>
        <w:ind w:left="760" w:hanging="246"/>
        <w:spacing w:after="0"/>
        <w:tabs>
          <w:tab w:leader="none" w:pos="75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87" w:lineRule="exact"/>
        <w:rPr>
          <w:rFonts w:ascii="Arial" w:cs="Arial" w:eastAsia="Arial" w:hAnsi="Arial"/>
          <w:sz w:val="13"/>
          <w:szCs w:val="13"/>
          <w:color w:val="auto"/>
        </w:rPr>
      </w:pPr>
    </w:p>
    <w:p>
      <w:pPr>
        <w:jc w:val="both"/>
        <w:ind w:left="760" w:hanging="246"/>
        <w:spacing w:after="0" w:line="239" w:lineRule="auto"/>
        <w:tabs>
          <w:tab w:leader="none" w:pos="75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189" w:lineRule="exact"/>
        <w:rPr>
          <w:rFonts w:ascii="Arial" w:cs="Arial" w:eastAsia="Arial" w:hAnsi="Arial"/>
          <w:sz w:val="13"/>
          <w:szCs w:val="13"/>
          <w:color w:val="auto"/>
        </w:rPr>
      </w:pPr>
    </w:p>
    <w:p>
      <w:pPr>
        <w:jc w:val="both"/>
        <w:ind w:left="760" w:hanging="246"/>
        <w:spacing w:after="0"/>
        <w:tabs>
          <w:tab w:leader="none" w:pos="75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Company's practices with regard to these requirements are not prohibited by Irish law.</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 at all times. At 31 December 2020, the Audit Committee was comprised of three independent Directors: Rónán Murphy (Chair), Professor Hugh Brady and Eugene McCague.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887"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00" w:type="dxa"/>
            <w:vAlign w:val="bottom"/>
          </w:tcPr>
          <w:p>
            <w:pPr>
              <w:spacing w:after="0"/>
              <w:rPr>
                <w:sz w:val="20"/>
                <w:szCs w:val="20"/>
                <w:color w:val="auto"/>
              </w:rPr>
            </w:pPr>
            <w:r>
              <w:rPr>
                <w:rFonts w:ascii="Arial" w:cs="Arial" w:eastAsia="Arial" w:hAnsi="Arial"/>
                <w:sz w:val="13"/>
                <w:szCs w:val="13"/>
                <w:b w:val="1"/>
                <w:bCs w:val="1"/>
                <w:color w:val="auto"/>
              </w:rPr>
              <w:t>Significant shareholdings</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40"/>
        </w:trPr>
        <w:tc>
          <w:tcPr>
            <w:tcW w:w="8600" w:type="dxa"/>
            <w:vAlign w:val="bottom"/>
          </w:tcPr>
          <w:p>
            <w:pPr>
              <w:spacing w:after="0"/>
              <w:rPr>
                <w:sz w:val="20"/>
                <w:szCs w:val="20"/>
                <w:color w:val="auto"/>
              </w:rPr>
            </w:pPr>
            <w:r>
              <w:rPr>
                <w:rFonts w:ascii="Arial" w:cs="Arial" w:eastAsia="Arial" w:hAnsi="Arial"/>
                <w:sz w:val="13"/>
                <w:szCs w:val="13"/>
                <w:color w:val="auto"/>
              </w:rPr>
              <w:t>The Company has been notified of the following shareholdings in excess of 3% of the issued share capital of the Company as at 31 December 2020:</w:t>
            </w: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79"/>
        </w:trPr>
        <w:tc>
          <w:tcPr>
            <w:tcW w:w="8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40" w:type="dxa"/>
            <w:vAlign w:val="bottom"/>
          </w:tcPr>
          <w:p>
            <w:pPr>
              <w:spacing w:after="0"/>
              <w:rPr>
                <w:sz w:val="6"/>
                <w:szCs w:val="6"/>
                <w:color w:val="auto"/>
              </w:rPr>
            </w:pPr>
          </w:p>
        </w:tc>
      </w:tr>
      <w:tr>
        <w:trPr>
          <w:trHeight w:val="170"/>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0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Number of Shares</w:t>
            </w:r>
          </w:p>
        </w:tc>
      </w:tr>
      <w:tr>
        <w:trPr>
          <w:trHeight w:val="202"/>
        </w:trPr>
        <w:tc>
          <w:tcPr>
            <w:tcW w:w="8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158"/>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Wellington Management Company LLP</w:t>
            </w:r>
          </w:p>
        </w:tc>
        <w:tc>
          <w:tcPr>
            <w:tcW w:w="1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7.56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3,989,007</w:t>
            </w:r>
          </w:p>
        </w:tc>
      </w:tr>
      <w:tr>
        <w:trPr>
          <w:trHeight w:val="16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WCM Investment Management</w:t>
            </w: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7.53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3,976,550</w:t>
            </w:r>
          </w:p>
        </w:tc>
      </w:tr>
      <w:tr>
        <w:trPr>
          <w:trHeight w:val="16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Comgest S.A.</w:t>
            </w:r>
          </w:p>
        </w:tc>
        <w:tc>
          <w:tcPr>
            <w:tcW w:w="1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4.60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2,429,517</w:t>
            </w:r>
          </w:p>
        </w:tc>
      </w:tr>
      <w:tr>
        <w:trPr>
          <w:trHeight w:val="16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Renaissance Technologies LLC</w:t>
            </w: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4.43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2,336,376</w:t>
            </w:r>
          </w:p>
        </w:tc>
      </w:tr>
      <w:tr>
        <w:trPr>
          <w:trHeight w:val="16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MFS Investment Management</w:t>
            </w:r>
          </w:p>
        </w:tc>
        <w:tc>
          <w:tcPr>
            <w:tcW w:w="1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3.93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2,073,465</w:t>
            </w:r>
          </w:p>
        </w:tc>
      </w:tr>
      <w:tr>
        <w:trPr>
          <w:trHeight w:val="16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Acadian Asset Management LLC</w:t>
            </w: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3.92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2,069,370</w:t>
            </w:r>
          </w:p>
        </w:tc>
      </w:tr>
      <w:tr>
        <w:trPr>
          <w:trHeight w:val="16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ClearBridge Investments, LLC</w:t>
            </w:r>
          </w:p>
        </w:tc>
        <w:tc>
          <w:tcPr>
            <w:tcW w:w="1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3.78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1,993,372</w:t>
            </w:r>
          </w:p>
        </w:tc>
      </w:tr>
      <w:tr>
        <w:trPr>
          <w:trHeight w:val="16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 O Hambro Capital Management Limited</w:t>
            </w: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3.63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1,915,922</w:t>
            </w:r>
          </w:p>
        </w:tc>
      </w:tr>
      <w:tr>
        <w:trPr>
          <w:trHeight w:val="16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AllianceBernstein LP</w:t>
            </w:r>
          </w:p>
        </w:tc>
        <w:tc>
          <w:tcPr>
            <w:tcW w:w="1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3.07</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1,619,739</w:t>
            </w:r>
          </w:p>
        </w:tc>
      </w:tr>
      <w:tr>
        <w:trPr>
          <w:trHeight w:val="16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Wasatch Global Investors Inc.</w:t>
            </w: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3.01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1,590,071</w:t>
            </w:r>
          </w:p>
        </w:tc>
      </w:tr>
      <w:tr>
        <w:trPr>
          <w:trHeight w:val="163"/>
        </w:trPr>
        <w:tc>
          <w:tcPr>
            <w:tcW w:w="8600" w:type="dxa"/>
            <w:vAlign w:val="bottom"/>
            <w:tcBorders>
              <w:bottom w:val="single" w:sz="8" w:color="auto"/>
            </w:tcBorders>
            <w:shd w:val="clear" w:color="auto" w:fill="CCEEFF"/>
          </w:tcPr>
          <w:p>
            <w:pPr>
              <w:ind w:left="20"/>
              <w:spacing w:after="0" w:line="163" w:lineRule="exact"/>
              <w:rPr>
                <w:sz w:val="20"/>
                <w:szCs w:val="20"/>
                <w:color w:val="auto"/>
              </w:rPr>
            </w:pPr>
            <w:r>
              <w:rPr>
                <w:rFonts w:ascii="Arial" w:cs="Arial" w:eastAsia="Arial" w:hAnsi="Arial"/>
                <w:sz w:val="13"/>
                <w:szCs w:val="13"/>
                <w:color w:val="auto"/>
              </w:rPr>
              <w:t xml:space="preserve">All Directors and Officers as a group </w:t>
            </w:r>
            <w:r>
              <w:rPr>
                <w:rFonts w:ascii="Arial" w:cs="Arial" w:eastAsia="Arial" w:hAnsi="Arial"/>
                <w:sz w:val="16"/>
                <w:szCs w:val="16"/>
                <w:color w:val="auto"/>
                <w:vertAlign w:val="superscript"/>
              </w:rPr>
              <w:t>(1)</w:t>
            </w:r>
          </w:p>
        </w:tc>
        <w:tc>
          <w:tcPr>
            <w:tcW w:w="1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2.18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1,152,168</w:t>
            </w:r>
          </w:p>
        </w:tc>
      </w:tr>
    </w:tbl>
    <w:p>
      <w:pPr>
        <w:spacing w:after="0" w:line="267" w:lineRule="exact"/>
        <w:rPr>
          <w:sz w:val="20"/>
          <w:szCs w:val="20"/>
          <w:color w:val="auto"/>
        </w:rPr>
      </w:pPr>
    </w:p>
    <w:p>
      <w:pPr>
        <w:jc w:val="both"/>
        <w:ind w:left="260" w:hanging="255"/>
        <w:spacing w:after="0" w:line="218" w:lineRule="auto"/>
        <w:tabs>
          <w:tab w:leader="none" w:pos="255"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Includes 390,100 ordinary shares issuable upon the exercise of stock options granted by the Company, 39,425 restricted stock units (“RSUs”) awarded by the Company to Directors, officers and other key employees and 105,776 performance share units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Subsidiary undertakings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information required by the Companies Act in relation to subsidiary undertakings is presented in </w:t>
      </w:r>
      <w:r>
        <w:rPr>
          <w:rFonts w:ascii="Arial" w:cs="Arial" w:eastAsia="Arial" w:hAnsi="Arial"/>
          <w:sz w:val="13"/>
          <w:szCs w:val="13"/>
          <w:i w:val="1"/>
          <w:iCs w:val="1"/>
          <w:color w:val="auto"/>
        </w:rPr>
        <w:t>note 32 Subsidiary undertakings</w:t>
      </w:r>
      <w:r>
        <w:rPr>
          <w:rFonts w:ascii="Arial" w:cs="Arial" w:eastAsia="Arial" w:hAnsi="Arial"/>
          <w:sz w:val="13"/>
          <w:szCs w:val="13"/>
          <w:color w:val="auto"/>
        </w:rPr>
        <w:t xml:space="preserve"> to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Political donations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Group made no disclosable political donations in the period.</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Going concern</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records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registered office at Leopardstown, Dublin 18.</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relevant audit information</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Directors believe that they have taken all steps necessary to make themselves aware of any relevant audit information and have established that the Company's statutory auditors are aware of that information. In so far as they are aware, there is no relevant audit information of which the Company's statutory auditors are unaware.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80"/>
          </w:cols>
          <w:pgMar w:left="300" w:top="887"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of non-financial information</w:t>
      </w:r>
    </w:p>
    <w:p>
      <w:pPr>
        <w:spacing w:after="0" w:line="153"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European Union (Disclosure of Non-Financial and Diversity Information by certain large undertakings and groups) Regulations 2017 require disclosure of certain non-financial information by certain large undertakings and groups.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We have sought to address the requirements of the legislation in the sections following.</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Model</w:t>
      </w:r>
    </w:p>
    <w:p>
      <w:pPr>
        <w:spacing w:after="0" w:line="153" w:lineRule="exact"/>
        <w:rPr>
          <w:sz w:val="20"/>
          <w:szCs w:val="20"/>
          <w:color w:val="auto"/>
        </w:rPr>
      </w:pPr>
    </w:p>
    <w:p>
      <w:pPr>
        <w:spacing w:after="0" w:line="284" w:lineRule="auto"/>
        <w:rPr>
          <w:sz w:val="20"/>
          <w:szCs w:val="20"/>
          <w:color w:val="auto"/>
        </w:rPr>
      </w:pPr>
      <w:r>
        <w:rPr>
          <w:rFonts w:ascii="Arial" w:cs="Arial" w:eastAsia="Arial" w:hAnsi="Arial"/>
          <w:sz w:val="12"/>
          <w:szCs w:val="12"/>
          <w:color w:val="auto"/>
        </w:rPr>
        <w:t>Our mission is to help our customers accelerate the development of drugs and devices that save lives and improve the quality of life. We help our customers deliver life-changing medicines by being innovative in our solutions, collaborative in how we work as teams, accountable for the results we achieve and committed to doing the right thing for our customers and the patients they serve.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Our business model is described in the ‘Principal activities, business review and future developments’ section of the Directors’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4473575" cy="2512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7357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Our core values underpin our mission and drive a culture and mind-set of ownership at ICON. “Own it @ ICON” is how we define our culture. Our culture of ownership connects us to the core values at the heart of the Company and helps us differentiate how we work with our customers to achieve their goals.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Our values are:</w:t>
      </w:r>
    </w:p>
    <w:p>
      <w:pPr>
        <w:spacing w:after="0" w:line="136"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Accountability &amp; delivery: We take pride in what we do</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Collaboration: We are one team</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Partnership: We partner with our customers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Integrity: We do the right thing</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values underpin how we work together to deliver on our mission to help our customers accelerate the development of drugs and devices that save lives and improve the quality of life. These values and our Code of Ethical Conduct, which underpins these values, form the core of everything we do. It applies to all officers, Directors, employees, consultants and agents globally. All employees and temporary workers are mandated to complete global ethics training.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887"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During 2019, ICON established an Environmental, Social, and Governance Committee ('ESG Committee') in order to bring together all of our existing initiatives and efforts under one umbrella to ensure consistency, enhance monitoring, reveal areas for development and facilitate reporting to the Board. The ESG Committee is chaired by the Chief Administrative Officer ('CAO'), who is responsible for reporting to the ICON executive leadership team and Board on ESG matters.</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with representation from facilities, corporate communications, finance, legal, investor relations and human resources departments. The Committee assists and supports executive management and the Board of the Company in:</w:t>
      </w:r>
    </w:p>
    <w:p>
      <w:pPr>
        <w:spacing w:after="0" w:line="185" w:lineRule="exact"/>
        <w:rPr>
          <w:sz w:val="20"/>
          <w:szCs w:val="20"/>
          <w:color w:val="auto"/>
        </w:rPr>
      </w:pPr>
    </w:p>
    <w:p>
      <w:pPr>
        <w:ind w:left="600" w:hanging="86"/>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determining and setting the strategy relating to ESG matters;</w:t>
      </w:r>
    </w:p>
    <w:p>
      <w:pPr>
        <w:ind w:left="600" w:hanging="86"/>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developing, implementing and monitoring initiatives and policies based on that strategy; and</w:t>
      </w:r>
    </w:p>
    <w:p>
      <w:pPr>
        <w:ind w:left="600" w:hanging="86"/>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communicating our strategies and initiatives and their results.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are committed to building and developing our ESG strategies and reporting. During 2020 we published our first annual ESG Report which provides an overview of our ESG priorities and commitments, summarises our current policies in respect to ESG matters and provides an update as to our actions and results during 2019. We also launched our ESG page on the ICON website and have an internal ESG page on our MyICON portal to engage with our employees and provide information and updates relating to ESG matters and our commitment to sustainability. The ESG page is available at https://www.iconplc.com/about/esg/.</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matters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ICON is committed to delivering excellence and care to the communities in which we operate</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is committed to delivering excellence and care to the communities in which we operate. This includes conducting our business in an environmentally sustainable manner as set out in our Global Code of Ethical Conduct. We achieve this by managing and improving our environmental performance across all business activities. Our employees, Directors, officers, contractors, and temporary workers are expected to support our sustainability objectives.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As a Clinical Research Organisation, we recognise the impact of how we operate on the environment in the following key areas:</w:t>
      </w:r>
    </w:p>
    <w:p>
      <w:pPr>
        <w:spacing w:after="0" w:line="136" w:lineRule="exact"/>
        <w:rPr>
          <w:sz w:val="20"/>
          <w:szCs w:val="20"/>
          <w:color w:val="auto"/>
        </w:rPr>
      </w:pPr>
    </w:p>
    <w:p>
      <w:pPr>
        <w:ind w:left="1020" w:hanging="506"/>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energy use;</w:t>
      </w:r>
    </w:p>
    <w:p>
      <w:pPr>
        <w:ind w:left="1020" w:hanging="506"/>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waste generation;</w:t>
      </w:r>
    </w:p>
    <w:p>
      <w:pPr>
        <w:ind w:left="1020" w:hanging="506"/>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emissions to air/water;</w:t>
      </w:r>
    </w:p>
    <w:p>
      <w:pPr>
        <w:ind w:left="1020" w:hanging="506"/>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water use;</w:t>
      </w:r>
    </w:p>
    <w:p>
      <w:pPr>
        <w:ind w:left="1020" w:hanging="506"/>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transport; and</w:t>
      </w:r>
    </w:p>
    <w:p>
      <w:pPr>
        <w:ind w:left="1020" w:hanging="506"/>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procurement.</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Global Environmental Management Policy and Environmental Management Plan were approved during 2018. Our Environmental Management Plan and Performance Statement sets out the environmental actions and targets to ensure compliance with our Global Environmental Management Policy and to engage our employees in supporting our objectives for continued improvement. Our Environmental Performance Statement is available to employees and to our customers. The plan sets out our commitment to conducting our business in an environmentally sustainable manner by managing and improving our environmental performance across all business activities. Our plan sets out our initiatives and goals.</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Responsibilities for the implementation of our objectives and co-ordination of our sustainability efforts and reporting on progress to the executive leadership is led by our facilities team, reporting to our CAO with input from our procurement, legal, corporate communications and human resources teams through our ESG Committee.</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have more than 80 facilities globally which operate in office buildings, where the primary energy consumption is electricity for light and heating, ventilation and air conditioning systems. Our central laboratories also operate laboratory instruments. Where we have direct control over the buildings we operate, we ensure energy efficient lighting solutions. Where we do not have direct control over our facilities, we work with our landlords and other stakeholders to encourage energy efficient lighting solutions. We also work hard to extend the useful life of our equipment and ensure appropriate disposal of assets when decommissioned. In 2019 our electricity consumption was 24,006 MWh. which was sourced 19% from renewables.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887"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response to the global pandemic, many of our facilities were closed or operated at reduced capacity for extended periods during 2020. During this time we continued to focus on managing our electricity consumption and sourcing energy from renewables, ensuring appropriate waste management activities and monitoring our carbon footprint. As offices re-open, we renew our efforts in each of these areas.</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3"/>
          <w:szCs w:val="13"/>
          <w:color w:val="auto"/>
        </w:rPr>
        <w:t>Waste reduction is one of the objectives of our Environmental Management Policy and we are committed to reducing waste through increasing recycling facilities and continue to engage in waste reduction activities including removing single use cups and using technologies such as secure printing, electronic documents and electronic signatures. Aged IT systems such as laptops and desktops, which are not broken but have exceeded their useful commercial life, are donated to various schools and charity organisations where possible. During 2018 we commenced the development of a global waste management system, which has been maintained during 2019 and 2020.</w:t>
      </w:r>
    </w:p>
    <w:p>
      <w:pPr>
        <w:spacing w:after="0" w:line="123"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We track, calculate and report our carbon footprint and use the information available to continue to improve our processes and reduce our impact. As a result of our efforts, our gross Greenhouse Gas (GHG) emissions year on year have consistently decreased since 2016. We follow the GHG Protocol Corporate Standard, which is the global corporate accounting and reporting standard for calculating carbon emissions and we work with Carbon Trust to verify our emissions data. The Carbon Disclosure Project (CDP) provides a globally recognised disclosure system that enables companies to measure and manage their environmental impacts. For CDP 2020, (based on 2019 data) ICON disclosed emissions and environmental data which had been verified by Carbon Trust and based on the data submitted to the CDP, ICON was awarded a C score.</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also require our suppliers to abide by our Global Supplier Code of Conduct which includes a commitment to comply with applicable environmental laws and regulations, our expectations around waste management and sustainable use of resources.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Principal risks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Although the risks associated with environmental matters are actively monitored, ICON does not believe these risks meet the threshold of a principal risk for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Social and Employee matters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community engagement initiatives are aligned with ICON’s values</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ICON supports a variety of community engagement programmes. Our programmes aim to make a positive difference to the communities in which we work and live and also recognise the enthusiasm and creativity of our people in their efforts to give something back to their communities.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Our community engagement activities are focused on two core areas:</w:t>
      </w:r>
    </w:p>
    <w:p>
      <w:pPr>
        <w:spacing w:after="0" w:line="147"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Supporting education &amp; building closer ties between industry &amp; academia; and</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Improving the welfare of people in the communities in which we live.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Supporting education &amp; building closer ties between industry &amp; academia</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ICON is a strong supporter of bridging the ties between industry and academia and inspiring the next generation of business and scientific leaders.</w:t>
      </w:r>
    </w:p>
    <w:p>
      <w:pPr>
        <w:spacing w:after="0" w:line="110" w:lineRule="exact"/>
        <w:rPr>
          <w:sz w:val="20"/>
          <w:szCs w:val="20"/>
          <w:color w:val="auto"/>
        </w:rPr>
      </w:pPr>
    </w:p>
    <w:p>
      <w:pPr>
        <w:ind w:left="520" w:hanging="260"/>
        <w:spacing w:after="0" w:line="253"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b w:val="1"/>
          <w:bCs w:val="1"/>
          <w:color w:val="auto"/>
        </w:rPr>
        <w:t xml:space="preserve">Benefactor through the Centuries of Trinity College Dublin. </w:t>
      </w:r>
      <w:r>
        <w:rPr>
          <w:rFonts w:ascii="Arial" w:cs="Arial" w:eastAsia="Arial" w:hAnsi="Arial"/>
          <w:sz w:val="13"/>
          <w:szCs w:val="13"/>
          <w:color w:val="auto"/>
        </w:rPr>
        <w:t>In February 2020, ICON was recognised as a benefactor of Trinity College Dublin in recognition of its support for Trinity, which</w:t>
      </w:r>
      <w:r>
        <w:rPr>
          <w:rFonts w:ascii="Arial" w:cs="Arial" w:eastAsia="Arial" w:hAnsi="Arial"/>
          <w:sz w:val="13"/>
          <w:szCs w:val="13"/>
          <w:b w:val="1"/>
          <w:bCs w:val="1"/>
          <w:color w:val="auto"/>
        </w:rPr>
        <w:t xml:space="preserve"> </w:t>
      </w:r>
      <w:r>
        <w:rPr>
          <w:rFonts w:ascii="Arial" w:cs="Arial" w:eastAsia="Arial" w:hAnsi="Arial"/>
          <w:sz w:val="13"/>
          <w:szCs w:val="13"/>
          <w:color w:val="auto"/>
        </w:rPr>
        <w:t>includes:</w:t>
      </w:r>
    </w:p>
    <w:p>
      <w:pPr>
        <w:spacing w:after="0" w:line="167" w:lineRule="exact"/>
        <w:rPr>
          <w:rFonts w:ascii="Arial" w:cs="Arial" w:eastAsia="Arial" w:hAnsi="Arial"/>
          <w:sz w:val="13"/>
          <w:szCs w:val="13"/>
          <w:color w:val="auto"/>
        </w:rPr>
      </w:pPr>
    </w:p>
    <w:p>
      <w:pPr>
        <w:jc w:val="both"/>
        <w:ind w:left="1020" w:hanging="251"/>
        <w:spacing w:after="0" w:line="229" w:lineRule="auto"/>
        <w:tabs>
          <w:tab w:leader="none" w:pos="1033" w:val="left"/>
        </w:tabs>
        <w:numPr>
          <w:ilvl w:val="1"/>
          <w:numId w:val="22"/>
        </w:numPr>
        <w:rPr>
          <w:rFonts w:ascii="Arial" w:cs="Arial" w:eastAsia="Arial" w:hAnsi="Arial"/>
          <w:sz w:val="13"/>
          <w:szCs w:val="13"/>
          <w:color w:val="auto"/>
        </w:rPr>
      </w:pPr>
      <w:r>
        <w:rPr>
          <w:rFonts w:ascii="Arial" w:cs="Arial" w:eastAsia="Arial" w:hAnsi="Arial"/>
          <w:sz w:val="13"/>
          <w:szCs w:val="13"/>
          <w:color w:val="auto"/>
        </w:rPr>
        <w:t>The creation of the ICON-McKeon Research Fellowship in Motor Neuron Disease ('MND') in recognition of Mr. Declan McKeon, former Board member, acting Chair, Lead Independent Director and Chair of the ICON Audit committee. The ICON-McKeon Research Fellow in MND will carry out research in the areas of machine-learning and artificial intelligence to derive insights from multimodal clinical, imaging neuro-electric signaling, in the context of the neurodegenerative disease of ALS.</w:t>
      </w:r>
    </w:p>
    <w:p>
      <w:pPr>
        <w:spacing w:after="0" w:line="176" w:lineRule="exact"/>
        <w:rPr>
          <w:rFonts w:ascii="Arial" w:cs="Arial" w:eastAsia="Arial" w:hAnsi="Arial"/>
          <w:sz w:val="13"/>
          <w:szCs w:val="13"/>
          <w:color w:val="auto"/>
        </w:rPr>
      </w:pPr>
    </w:p>
    <w:p>
      <w:pPr>
        <w:jc w:val="both"/>
        <w:ind w:left="1020" w:hanging="251"/>
        <w:spacing w:after="0" w:line="227" w:lineRule="auto"/>
        <w:tabs>
          <w:tab w:leader="none" w:pos="1023" w:val="left"/>
        </w:tabs>
        <w:numPr>
          <w:ilvl w:val="1"/>
          <w:numId w:val="22"/>
        </w:numPr>
        <w:rPr>
          <w:rFonts w:ascii="Arial" w:cs="Arial" w:eastAsia="Arial" w:hAnsi="Arial"/>
          <w:sz w:val="13"/>
          <w:szCs w:val="13"/>
          <w:color w:val="auto"/>
        </w:rPr>
      </w:pPr>
      <w:r>
        <w:rPr>
          <w:rFonts w:ascii="Arial" w:cs="Arial" w:eastAsia="Arial" w:hAnsi="Arial"/>
          <w:sz w:val="13"/>
          <w:szCs w:val="13"/>
          <w:color w:val="auto"/>
        </w:rPr>
        <w:t>Partnership with Trinity Centre for People with Intellectual Disabilities ('TCPID') - In 2019, we entered into a partnership with the TCPID. The TCPID situated within the School of Education, Trinity College Dublin, aims to promote the inclusion of people with intellectual disabilities in education and society. The Centre provides people who have intellectual disabilities with the opportunity to participate in a higher education programme designed to enhance their capacity to fully participate in society as independent adults. The 2-year education programme includes work placements and internships to enable students to experience and participate in the work environment.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887"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520" w:hanging="260"/>
        <w:spacing w:after="0" w:line="254" w:lineRule="auto"/>
        <w:tabs>
          <w:tab w:leader="none" w:pos="511"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Scholarships supporting female GAA players. </w:t>
      </w:r>
      <w:r>
        <w:rPr>
          <w:rFonts w:ascii="Arial" w:cs="Arial" w:eastAsia="Arial" w:hAnsi="Arial"/>
          <w:sz w:val="13"/>
          <w:szCs w:val="13"/>
          <w:color w:val="auto"/>
        </w:rPr>
        <w:t>ICON has a partnership with the Women’s Gaelic Players Association, whereby we provide ICON-GPA Life Sciences Scholarships to inter-county football and camogie players engaged in undergraduate and post-graduate life sciences courses. ICON also provides mentoring to players to guide and help them as they set-out on their career journeys.</w:t>
      </w:r>
    </w:p>
    <w:p>
      <w:pPr>
        <w:spacing w:after="0" w:line="161" w:lineRule="exact"/>
        <w:rPr>
          <w:rFonts w:ascii="Arial" w:cs="Arial" w:eastAsia="Arial" w:hAnsi="Arial"/>
          <w:sz w:val="13"/>
          <w:szCs w:val="13"/>
          <w:b w:val="1"/>
          <w:bCs w:val="1"/>
          <w:color w:val="auto"/>
        </w:rPr>
      </w:pPr>
    </w:p>
    <w:p>
      <w:pPr>
        <w:jc w:val="both"/>
        <w:ind w:left="520" w:hanging="260"/>
        <w:spacing w:after="0" w:line="254"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 xml:space="preserve">Partnership with Junior Achievement to inspire schoolchildren. </w:t>
      </w:r>
      <w:r>
        <w:rPr>
          <w:rFonts w:ascii="Arial" w:cs="Arial" w:eastAsia="Arial" w:hAnsi="Arial"/>
          <w:sz w:val="13"/>
          <w:szCs w:val="13"/>
          <w:color w:val="auto"/>
        </w:rPr>
        <w:t>ICON supports our people who take time out of their working day to deliver Junior Achievement educational programs.</w:t>
      </w:r>
      <w:r>
        <w:rPr>
          <w:rFonts w:ascii="Arial" w:cs="Arial" w:eastAsia="Arial" w:hAnsi="Arial"/>
          <w:sz w:val="13"/>
          <w:szCs w:val="13"/>
          <w:b w:val="1"/>
          <w:bCs w:val="1"/>
          <w:color w:val="auto"/>
        </w:rPr>
        <w:t xml:space="preserve"> </w:t>
      </w:r>
      <w:r>
        <w:rPr>
          <w:rFonts w:ascii="Arial" w:cs="Arial" w:eastAsia="Arial" w:hAnsi="Arial"/>
          <w:sz w:val="13"/>
          <w:szCs w:val="13"/>
          <w:color w:val="auto"/>
        </w:rPr>
        <w:t>Junior Achievement encourages young people to remain in education and teaches them the skills they need to succeed in a changing world. Our volunteers teach primary and secondary level students valuable business, STEM and entrepreneurship skills that will stand them in good stead as they progress through education and beyond.</w:t>
      </w:r>
    </w:p>
    <w:p>
      <w:pPr>
        <w:spacing w:after="0" w:line="161" w:lineRule="exact"/>
        <w:rPr>
          <w:rFonts w:ascii="Arial" w:cs="Arial" w:eastAsia="Arial" w:hAnsi="Arial"/>
          <w:sz w:val="13"/>
          <w:szCs w:val="13"/>
          <w:color w:val="auto"/>
        </w:rPr>
      </w:pPr>
    </w:p>
    <w:p>
      <w:pPr>
        <w:jc w:val="both"/>
        <w:ind w:left="520" w:hanging="260"/>
        <w:spacing w:after="0" w:line="254"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Science Gallery Founding Partner</w:t>
      </w:r>
      <w:r>
        <w:rPr>
          <w:rFonts w:ascii="Arial" w:cs="Arial" w:eastAsia="Arial" w:hAnsi="Arial"/>
          <w:sz w:val="13"/>
          <w:szCs w:val="13"/>
          <w:color w:val="auto"/>
        </w:rPr>
        <w:t>. ICON has been a lead corporate supporter of the Science Gallery at Trinity College Dublin since its inception in 2008. Science Gallery aims to inspire and</w:t>
      </w:r>
      <w:r>
        <w:rPr>
          <w:rFonts w:ascii="Arial" w:cs="Arial" w:eastAsia="Arial" w:hAnsi="Arial"/>
          <w:sz w:val="13"/>
          <w:szCs w:val="13"/>
          <w:b w:val="1"/>
          <w:bCs w:val="1"/>
          <w:color w:val="auto"/>
        </w:rPr>
        <w:t xml:space="preserve"> </w:t>
      </w:r>
      <w:r>
        <w:rPr>
          <w:rFonts w:ascii="Arial" w:cs="Arial" w:eastAsia="Arial" w:hAnsi="Arial"/>
          <w:sz w:val="13"/>
          <w:szCs w:val="13"/>
          <w:color w:val="auto"/>
        </w:rPr>
        <w:t>transform curious minds through engagement with science. In 2020, we delivered a new 'Living with....' healthcare event series with the Science Gallery, which explores healthcare, the human experience and the future of disease treatment. 2020 events included a focus on cystic fibrosis, IBD and MND.</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Improving the welfare of people in the communities in which we live</w:t>
      </w:r>
    </w:p>
    <w:p>
      <w:pPr>
        <w:spacing w:after="0" w:line="153"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ICON employees across the world are making a positive difference to their communities. We support causes that are important to our employees and have a number of programmes that support the welfare of people in our local communities. These include:</w:t>
      </w:r>
    </w:p>
    <w:p>
      <w:pPr>
        <w:spacing w:after="0" w:line="126" w:lineRule="exact"/>
        <w:rPr>
          <w:sz w:val="20"/>
          <w:szCs w:val="20"/>
          <w:color w:val="auto"/>
        </w:rPr>
      </w:pPr>
    </w:p>
    <w:p>
      <w:pPr>
        <w:jc w:val="both"/>
        <w:ind w:left="520" w:hanging="260"/>
        <w:spacing w:after="0" w:line="213" w:lineRule="auto"/>
        <w:tabs>
          <w:tab w:leader="none" w:pos="511" w:val="left"/>
        </w:tabs>
        <w:numPr>
          <w:ilvl w:val="0"/>
          <w:numId w:val="24"/>
        </w:numPr>
        <w:rPr>
          <w:rFonts w:ascii="Arial" w:cs="Arial" w:eastAsia="Arial" w:hAnsi="Arial"/>
          <w:sz w:val="16"/>
          <w:szCs w:val="16"/>
          <w:color w:val="auto"/>
        </w:rPr>
      </w:pPr>
      <w:r>
        <w:rPr>
          <w:rFonts w:ascii="Arial" w:cs="Arial" w:eastAsia="Arial" w:hAnsi="Arial"/>
          <w:sz w:val="13"/>
          <w:szCs w:val="13"/>
          <w:b w:val="1"/>
          <w:bCs w:val="1"/>
          <w:color w:val="auto"/>
        </w:rPr>
        <w:t>Corporate donations to employee-nominated charities</w:t>
      </w:r>
      <w:r>
        <w:rPr>
          <w:rFonts w:ascii="Arial" w:cs="Arial" w:eastAsia="Arial" w:hAnsi="Arial"/>
          <w:sz w:val="13"/>
          <w:szCs w:val="13"/>
          <w:color w:val="auto"/>
        </w:rPr>
        <w:t>. In 2020, we continued our corporate donation programme to employee-nominated charities, by providing substantial donations to</w:t>
      </w:r>
      <w:r>
        <w:rPr>
          <w:rFonts w:ascii="Arial" w:cs="Arial" w:eastAsia="Arial" w:hAnsi="Arial"/>
          <w:sz w:val="13"/>
          <w:szCs w:val="13"/>
          <w:b w:val="1"/>
          <w:bCs w:val="1"/>
          <w:color w:val="auto"/>
        </w:rPr>
        <w:t xml:space="preserve"> </w:t>
      </w:r>
      <w:r>
        <w:rPr>
          <w:rFonts w:ascii="Arial" w:cs="Arial" w:eastAsia="Arial" w:hAnsi="Arial"/>
          <w:sz w:val="13"/>
          <w:szCs w:val="13"/>
          <w:color w:val="auto"/>
        </w:rPr>
        <w:t>10 charities across the world. In 2020, we supported charities focused on building a more inclusive society, which is aligned with our commitment to Diversity &amp; Inclusion. Charities included those focused on providing sport and work opportunities for people with physical and intellectual disabilities, empowerment of underprivileged youth and women in minority groups through education, healthcare and livelihood programmes and support for LGBTQ communities. Over the last six years, ICON has supported over 70 charities across the world.</w:t>
      </w:r>
    </w:p>
    <w:p>
      <w:pPr>
        <w:spacing w:after="0" w:line="160" w:lineRule="exact"/>
        <w:rPr>
          <w:rFonts w:ascii="Arial" w:cs="Arial" w:eastAsia="Arial" w:hAnsi="Arial"/>
          <w:sz w:val="16"/>
          <w:szCs w:val="16"/>
          <w:color w:val="auto"/>
        </w:rPr>
      </w:pPr>
    </w:p>
    <w:p>
      <w:pPr>
        <w:jc w:val="both"/>
        <w:ind w:left="520" w:hanging="260"/>
        <w:spacing w:after="0" w:line="254"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 xml:space="preserve">Donations in support of employee fundraising. </w:t>
      </w:r>
      <w:r>
        <w:rPr>
          <w:rFonts w:ascii="Arial" w:cs="Arial" w:eastAsia="Arial" w:hAnsi="Arial"/>
          <w:sz w:val="13"/>
          <w:szCs w:val="13"/>
          <w:color w:val="auto"/>
        </w:rPr>
        <w:t>ICON employees raise significant amounts for a variety of charities each year through in-house fundraising events. ICON continues to</w:t>
      </w:r>
      <w:r>
        <w:rPr>
          <w:rFonts w:ascii="Arial" w:cs="Arial" w:eastAsia="Arial" w:hAnsi="Arial"/>
          <w:sz w:val="13"/>
          <w:szCs w:val="13"/>
          <w:b w:val="1"/>
          <w:bCs w:val="1"/>
          <w:color w:val="auto"/>
        </w:rPr>
        <w:t xml:space="preserve"> </w:t>
      </w:r>
      <w:r>
        <w:rPr>
          <w:rFonts w:ascii="Arial" w:cs="Arial" w:eastAsia="Arial" w:hAnsi="Arial"/>
          <w:sz w:val="13"/>
          <w:szCs w:val="13"/>
          <w:color w:val="auto"/>
        </w:rPr>
        <w:t>recognise the enormous effort and creativity of our employees who fundraise for causes that are important to them by supplementing monies raised through ICON’s Charitable Donation Programme.</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At the core of our strategy is our people</w:t>
      </w:r>
    </w:p>
    <w:p>
      <w:pPr>
        <w:spacing w:after="0" w:line="150"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As set-out above, one of our four strategic pillars is '</w:t>
      </w:r>
      <w:r>
        <w:rPr>
          <w:rFonts w:ascii="Arial" w:cs="Arial" w:eastAsia="Arial" w:hAnsi="Arial"/>
          <w:sz w:val="12"/>
          <w:szCs w:val="12"/>
          <w:i w:val="1"/>
          <w:iCs w:val="1"/>
          <w:color w:val="auto"/>
        </w:rPr>
        <w:t>Talent, Leadership Development and Culture</w:t>
      </w:r>
      <w:r>
        <w:rPr>
          <w:rFonts w:ascii="Arial" w:cs="Arial" w:eastAsia="Arial" w:hAnsi="Arial"/>
          <w:sz w:val="12"/>
          <w:szCs w:val="12"/>
          <w:color w:val="auto"/>
        </w:rPr>
        <w:t>'. Within ICON we have highly qualified and experienced teams, the majority of whom have third level educational qualifications. The need to develop and retain this expertise and talent within the organisation is fundamental in enabling us to be the global CRO partner of choice for our customers.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training and development of our staff is a key focus for us</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have a comprehensive curriculum in place to support our people in their roles. We have invested in creating an innovative learning environment delivered through ICON’s training and development group.</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provide our people with a personalised and flexible learning experience, delivered through a combination of in-person and technology-driven programmes that suit their learning styles and can flex to suit their schedules. Through our CareerHub portal, internally developed professional development programmes and partnerships with leading academic institutions, employees are encouraged to broaden their scientific, technical and business knowledge. They also have access to tools that will help them develop the competencies to support their career ambitions. We also collaborate with University College Dublin to deliver customised leadership development programs for global employees.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All of our people are required to complete mandatory training in key areas which support our values and our way of working. They include (but are not limited to) the following areas:</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global ethics compliance;</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data protection and procedures;</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IT security;</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confidentiality and maintaining communications; and</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social media usage.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887"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have a well-established Graduate Development Programme for our clinical teams, which now runs in the US, China, Japan, South Korea, India and also Australia where we take recent graduates and prepare them for careers in clinical monitoring and data management.</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learning and development programme is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Our leadership and talent programme contribute to the enhanced retention of our employees, better project deliverables for our customers and the enhanced financial performance of the business.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ICON is proud of this investment in our people. This investment translated to approximately four days training for each</w:t>
      </w:r>
    </w:p>
    <w:p>
      <w:pPr>
        <w:spacing w:after="0"/>
        <w:rPr>
          <w:sz w:val="20"/>
          <w:szCs w:val="20"/>
          <w:color w:val="auto"/>
        </w:rPr>
      </w:pPr>
      <w:r>
        <w:rPr>
          <w:rFonts w:ascii="Arial" w:cs="Arial" w:eastAsia="Arial" w:hAnsi="Arial"/>
          <w:sz w:val="13"/>
          <w:szCs w:val="13"/>
          <w:color w:val="auto"/>
        </w:rPr>
        <w:t>person during 2020. We are also committed to supporting the career aspirations of our people. Approximately 30% of all roles are filled internally.</w:t>
      </w:r>
    </w:p>
    <w:p>
      <w:pPr>
        <w:spacing w:after="0"/>
        <w:rPr>
          <w:sz w:val="20"/>
          <w:szCs w:val="20"/>
          <w:color w:val="auto"/>
        </w:rPr>
      </w:pPr>
      <w:r>
        <w:rPr>
          <w:rFonts w:ascii="Arial" w:cs="Arial" w:eastAsia="Arial" w:hAnsi="Arial"/>
          <w:sz w:val="13"/>
          <w:szCs w:val="13"/>
          <w:b w:val="1"/>
          <w:bCs w:val="1"/>
          <w:i w:val="1"/>
          <w:iCs w:val="1"/>
          <w:color w:val="auto"/>
        </w:rPr>
        <w:t>As an organisation we are keen to hear directly from our employees</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Listening to the views of our employees in areas including recruitment and on-boarding, training, engagement, enablement, reward, diversity and inclusion is an ongoing activity in ICON. Our listening strategy feeds into the development of initiatives to address turnover, which we closely monitor. We listen using a variety of channels, ranging from formal global employee surveys to more targeted focus groups. Our most recent survey was conducted in October 2018 and had an 88% response rate. There are two key measures which we track closely. The first is Employee Engagement which scored well at 70%, and was on par with the General Industry benchmark. The second is Employee Enablement, which also scored at 70%, 3% above the General Industry benchmark. The feedback we receive through our listening strategy feeds into the ongoing development of our People Leader and employee programmes and initiatives and also influences action planning at a service line and/or regional level. Examples of improvements made which were a direct result of feedback from our listening strategy include enhanced onboarding, greater transparency around organisational performance and how it impacts annual bonus potential, and a range of enablement initiatives delivered through our IT systems.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Difference drives innovative thinking and is critical to our success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believe difference drives innovative thinking, which is critical to our customers, and as a global company with approximately 15,730 employees in 41 countries, we encourage diversity of all kinds. We have grown rapidly, increasing our headcount by more than fifty percent over the past 7 years. As a truly global operation, we are deliberately structured as international teams so that we can support the delivery of our customers' clinical development programmes across multiple geographies. Recruitment, selection and promotion decisions are merit-based and in line with the principles of reaching a wider talent pool and equal opportunity.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Building an inclusive workplace</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believe that difference drives innovative thinking and therefore is critical to our success. During 2019 we established the ICON Diversity &amp; Inclusion Steering Group. This Steering Group is comprised of six members of our Group executive team. The executive leaders are supported by senior members of our human resources group, as well as 39 Diversity &amp; Inclusion Advocates from across our service lines and geographies.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887"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At ICON, our leadership team sees diversity and inclusion in the workplace as at the core of how we work. We recognise the importance of ensuring it is built into every aspect of the talent and employee life cycle. The team have defined the importance of diversity and inclusion at ICON under three headings as follows:</w:t>
      </w:r>
    </w:p>
    <w:p>
      <w:pPr>
        <w:spacing w:after="0" w:line="168" w:lineRule="exact"/>
        <w:rPr>
          <w:sz w:val="20"/>
          <w:szCs w:val="20"/>
          <w:color w:val="auto"/>
        </w:rPr>
      </w:pPr>
    </w:p>
    <w:p>
      <w:pPr>
        <w:jc w:val="both"/>
        <w:ind w:left="520" w:hanging="260"/>
        <w:spacing w:after="0" w:line="254" w:lineRule="auto"/>
        <w:tabs>
          <w:tab w:leader="none" w:pos="511"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It aligns with our Values. </w:t>
      </w:r>
      <w:r>
        <w:rPr>
          <w:rFonts w:ascii="Arial" w:cs="Arial" w:eastAsia="Arial" w:hAnsi="Arial"/>
          <w:sz w:val="13"/>
          <w:szCs w:val="13"/>
          <w:color w:val="auto"/>
        </w:rPr>
        <w:t>We value difference of gender, ethnicity, culture, ability and experience. We believe diversity of thought is what drives high performing teams to create better</w:t>
      </w:r>
      <w:r>
        <w:rPr>
          <w:rFonts w:ascii="Arial" w:cs="Arial" w:eastAsia="Arial" w:hAnsi="Arial"/>
          <w:sz w:val="13"/>
          <w:szCs w:val="13"/>
          <w:b w:val="1"/>
          <w:bCs w:val="1"/>
          <w:color w:val="auto"/>
        </w:rPr>
        <w:t xml:space="preserve"> </w:t>
      </w:r>
      <w:r>
        <w:rPr>
          <w:rFonts w:ascii="Arial" w:cs="Arial" w:eastAsia="Arial" w:hAnsi="Arial"/>
          <w:sz w:val="13"/>
          <w:szCs w:val="13"/>
          <w:color w:val="auto"/>
        </w:rPr>
        <w:t>solutions and deliver better outcomes for our customers. Diversity &amp; inclusion is embedded in our values, most notably in our Integrity value. We appreciate differences and value diversity. It is part of our heritage and will drive our organisation forward to success.</w:t>
      </w:r>
    </w:p>
    <w:p>
      <w:pPr>
        <w:spacing w:after="0" w:line="161" w:lineRule="exact"/>
        <w:rPr>
          <w:rFonts w:ascii="Arial" w:cs="Arial" w:eastAsia="Arial" w:hAnsi="Arial"/>
          <w:sz w:val="13"/>
          <w:szCs w:val="13"/>
          <w:b w:val="1"/>
          <w:bCs w:val="1"/>
          <w:color w:val="auto"/>
        </w:rPr>
      </w:pPr>
    </w:p>
    <w:p>
      <w:pPr>
        <w:jc w:val="both"/>
        <w:ind w:left="520" w:hanging="260"/>
        <w:spacing w:after="0" w:line="243"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 xml:space="preserve">It matters to our People. </w:t>
      </w:r>
      <w:r>
        <w:rPr>
          <w:rFonts w:ascii="Arial" w:cs="Arial" w:eastAsia="Arial" w:hAnsi="Arial"/>
          <w:sz w:val="13"/>
          <w:szCs w:val="13"/>
          <w:color w:val="auto"/>
        </w:rPr>
        <w:t>Employees do not see inclusion as a 'nice to have' - they expect it. Organizations that have a clear Diversity &amp; Inclusion strategy and are visibly active in driving this</w:t>
      </w:r>
      <w:r>
        <w:rPr>
          <w:rFonts w:ascii="Arial" w:cs="Arial" w:eastAsia="Arial" w:hAnsi="Arial"/>
          <w:sz w:val="13"/>
          <w:szCs w:val="13"/>
          <w:b w:val="1"/>
          <w:bCs w:val="1"/>
          <w:color w:val="auto"/>
        </w:rPr>
        <w:t xml:space="preserve"> </w:t>
      </w:r>
      <w:r>
        <w:rPr>
          <w:rFonts w:ascii="Arial" w:cs="Arial" w:eastAsia="Arial" w:hAnsi="Arial"/>
          <w:sz w:val="13"/>
          <w:szCs w:val="13"/>
          <w:color w:val="auto"/>
        </w:rPr>
        <w:t>agenda are more likely to attract and retain talent. We ensure all employees are treated fairly and equitably with no barriers to career opportunities. We are committed to equal opportunities for all employees and reflect this in our policies and practices. In November 2019, we engaged Willis Towers Watson to undertake an external audit of our gender pay equity position across our top 10 markets (78% of global population), which found that ICON continues to maintain gender pay equity. We continue to perform pay equity reviews annually with the objective of monitoring and closing any gaps identified.</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 xml:space="preserve">It benefits our Business. </w:t>
      </w:r>
      <w:r>
        <w:rPr>
          <w:rFonts w:ascii="Arial" w:cs="Arial" w:eastAsia="Arial" w:hAnsi="Arial"/>
          <w:sz w:val="13"/>
          <w:szCs w:val="13"/>
          <w:color w:val="auto"/>
        </w:rPr>
        <w:t>Diversity of thinking drives innovation and mitigates against group think which means we develop better solutions for our customers.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Executive leadership group defined three clear ambitions for our Diversity &amp; Inclusion agenda, based on feedback from employee focus groups run during 2020. These ambitions define the goals against which success will be measured. The plans evolve each year, with the Diversity &amp; Inclusion advocates co-creating the plan with the Executive leadership group. Our three ambitions are as follows:</w:t>
      </w:r>
    </w:p>
    <w:p>
      <w:pPr>
        <w:spacing w:after="0" w:line="128"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To build an inclusive workplace culture</w:t>
      </w:r>
      <w:r>
        <w:rPr>
          <w:rFonts w:ascii="Arial" w:cs="Arial" w:eastAsia="Arial" w:hAnsi="Arial"/>
          <w:sz w:val="13"/>
          <w:szCs w:val="13"/>
          <w:color w:val="auto"/>
        </w:rPr>
        <w:t>: To foster a workplace culture that is inclusive, collaborative and accountable and supports the talent and diversity of our people.</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To build a diverse workforce</w:t>
      </w:r>
      <w:r>
        <w:rPr>
          <w:rFonts w:ascii="Arial" w:cs="Arial" w:eastAsia="Arial" w:hAnsi="Arial"/>
          <w:sz w:val="13"/>
          <w:szCs w:val="13"/>
          <w:color w:val="auto"/>
        </w:rPr>
        <w:t>: To recruit, develop and retain a diverse workforce that is reflective of the communities in which we operate.</w:t>
      </w:r>
    </w:p>
    <w:p>
      <w:pPr>
        <w:spacing w:after="0" w:line="190" w:lineRule="exact"/>
        <w:rPr>
          <w:rFonts w:ascii="Arial" w:cs="Arial" w:eastAsia="Arial" w:hAnsi="Arial"/>
          <w:sz w:val="13"/>
          <w:szCs w:val="13"/>
          <w:color w:val="auto"/>
        </w:rPr>
      </w:pPr>
    </w:p>
    <w:p>
      <w:pPr>
        <w:ind w:left="520" w:hanging="260"/>
        <w:spacing w:after="0" w:line="251"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To contribute to society</w:t>
      </w:r>
      <w:r>
        <w:rPr>
          <w:rFonts w:ascii="Arial" w:cs="Arial" w:eastAsia="Arial" w:hAnsi="Arial"/>
          <w:sz w:val="13"/>
          <w:szCs w:val="13"/>
          <w:color w:val="auto"/>
        </w:rPr>
        <w:t>: Foster community engagement partnerships with a Diversity &amp; Inclusion lens. Promote diversity within the clinical trials so that all communities have access to new</w:t>
      </w:r>
      <w:r>
        <w:rPr>
          <w:rFonts w:ascii="Arial" w:cs="Arial" w:eastAsia="Arial" w:hAnsi="Arial"/>
          <w:sz w:val="13"/>
          <w:szCs w:val="13"/>
          <w:b w:val="1"/>
          <w:bCs w:val="1"/>
          <w:color w:val="auto"/>
        </w:rPr>
        <w:t xml:space="preserve"> </w:t>
      </w:r>
      <w:r>
        <w:rPr>
          <w:rFonts w:ascii="Arial" w:cs="Arial" w:eastAsia="Arial" w:hAnsi="Arial"/>
          <w:sz w:val="13"/>
          <w:szCs w:val="13"/>
          <w:color w:val="auto"/>
        </w:rPr>
        <w:t>treatments.</w:t>
      </w:r>
    </w:p>
    <w:p>
      <w:pPr>
        <w:spacing w:after="0"/>
        <w:rPr>
          <w:sz w:val="20"/>
          <w:szCs w:val="20"/>
          <w:color w:val="auto"/>
        </w:rPr>
      </w:pPr>
      <w:r>
        <w:rPr>
          <w:rFonts w:ascii="Arial" w:cs="Arial" w:eastAsia="Arial" w:hAnsi="Arial"/>
          <w:sz w:val="13"/>
          <w:szCs w:val="13"/>
          <w:color w:val="auto"/>
        </w:rPr>
        <w:t>These ambitions are supported by key areas of focus are around talent management, country level inclusion policies, reward, training, communications and a renewed focus on culture.</w:t>
      </w:r>
    </w:p>
    <w:p>
      <w:pPr>
        <w:spacing w:after="0" w:line="174" w:lineRule="exact"/>
        <w:rPr>
          <w:sz w:val="20"/>
          <w:szCs w:val="20"/>
          <w:color w:val="auto"/>
        </w:rPr>
      </w:pPr>
    </w:p>
    <w:p>
      <w:pPr>
        <w:jc w:val="both"/>
        <w:ind w:left="520" w:hanging="260"/>
        <w:spacing w:after="0" w:line="246" w:lineRule="auto"/>
        <w:tabs>
          <w:tab w:leader="none" w:pos="511"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Talent </w:t>
      </w:r>
      <w:r>
        <w:rPr>
          <w:rFonts w:ascii="Arial" w:cs="Arial" w:eastAsia="Arial" w:hAnsi="Arial"/>
          <w:sz w:val="13"/>
          <w:szCs w:val="13"/>
          <w:color w:val="auto"/>
        </w:rPr>
        <w:t>- We recognise that more diversity in senior leadership increases organisational performance. In 2019 we launched our global Senior Director Leadership Programme in addition to our</w:t>
      </w:r>
      <w:r>
        <w:rPr>
          <w:rFonts w:ascii="Arial" w:cs="Arial" w:eastAsia="Arial" w:hAnsi="Arial"/>
          <w:sz w:val="13"/>
          <w:szCs w:val="13"/>
          <w:b w:val="1"/>
          <w:bCs w:val="1"/>
          <w:color w:val="auto"/>
        </w:rPr>
        <w:t xml:space="preserve"> </w:t>
      </w:r>
      <w:r>
        <w:rPr>
          <w:rFonts w:ascii="Arial" w:cs="Arial" w:eastAsia="Arial" w:hAnsi="Arial"/>
          <w:sz w:val="13"/>
          <w:szCs w:val="13"/>
          <w:color w:val="auto"/>
        </w:rPr>
        <w:t>Vice President High Potential programme for those people who have been identified as High Performing &amp; High Potential Leaders. These programs focus on core organisational skills that will enable these individuals to increase their readiness for promotion, as well as create a strong internal network of senior leaders who feel empowered to take hold of their careers. These programmes help build and support our development of a diverse and inclusive group of future leaders from within and complements existing senior level programs already in existence in the organisation.</w:t>
      </w:r>
    </w:p>
    <w:p>
      <w:pPr>
        <w:spacing w:after="0" w:line="167" w:lineRule="exact"/>
        <w:rPr>
          <w:rFonts w:ascii="Arial" w:cs="Arial" w:eastAsia="Arial" w:hAnsi="Arial"/>
          <w:sz w:val="13"/>
          <w:szCs w:val="13"/>
          <w:b w:val="1"/>
          <w:bCs w:val="1"/>
          <w:color w:val="auto"/>
        </w:rPr>
      </w:pPr>
    </w:p>
    <w:p>
      <w:pPr>
        <w:jc w:val="both"/>
        <w:ind w:left="520" w:hanging="260"/>
        <w:spacing w:after="0" w:line="254" w:lineRule="auto"/>
        <w:tabs>
          <w:tab w:leader="none" w:pos="511"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Training and Development </w:t>
      </w:r>
      <w:r>
        <w:rPr>
          <w:rFonts w:ascii="Arial" w:cs="Arial" w:eastAsia="Arial" w:hAnsi="Arial"/>
          <w:sz w:val="13"/>
          <w:szCs w:val="13"/>
          <w:color w:val="auto"/>
        </w:rPr>
        <w:t>- Under our Diversity and Inclusion Program, we train all our people leaders to understand unconscious bias and similarity bias and also how to encourage</w:t>
      </w:r>
      <w:r>
        <w:rPr>
          <w:rFonts w:ascii="Arial" w:cs="Arial" w:eastAsia="Arial" w:hAnsi="Arial"/>
          <w:sz w:val="13"/>
          <w:szCs w:val="13"/>
          <w:b w:val="1"/>
          <w:bCs w:val="1"/>
          <w:color w:val="auto"/>
        </w:rPr>
        <w:t xml:space="preserve"> </w:t>
      </w:r>
      <w:r>
        <w:rPr>
          <w:rFonts w:ascii="Arial" w:cs="Arial" w:eastAsia="Arial" w:hAnsi="Arial"/>
          <w:sz w:val="13"/>
          <w:szCs w:val="13"/>
          <w:color w:val="auto"/>
        </w:rPr>
        <w:t>diversity of thought and foster inclusion in their teams. Our diversity and inclusion initiatives were launched at our Company wide Wake up to Culture day during 2019. The fundamentals will be embedded into all people leader programmes, and reflect the values upon which we assess performance behaviours.</w:t>
      </w:r>
    </w:p>
    <w:p>
      <w:pPr>
        <w:spacing w:after="0" w:line="161" w:lineRule="exact"/>
        <w:rPr>
          <w:rFonts w:ascii="Arial" w:cs="Arial" w:eastAsia="Arial" w:hAnsi="Arial"/>
          <w:sz w:val="13"/>
          <w:szCs w:val="13"/>
          <w:b w:val="1"/>
          <w:bCs w:val="1"/>
          <w:color w:val="auto"/>
        </w:rPr>
      </w:pPr>
    </w:p>
    <w:p>
      <w:pPr>
        <w:jc w:val="both"/>
        <w:ind w:left="520" w:hanging="260"/>
        <w:spacing w:after="0" w:line="254" w:lineRule="auto"/>
        <w:tabs>
          <w:tab w:leader="none" w:pos="511"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Recruitment and progression </w:t>
      </w:r>
      <w:r>
        <w:rPr>
          <w:rFonts w:ascii="Arial" w:cs="Arial" w:eastAsia="Arial" w:hAnsi="Arial"/>
          <w:sz w:val="13"/>
          <w:szCs w:val="13"/>
          <w:color w:val="auto"/>
        </w:rPr>
        <w:t>- We continue to strive to source the best talent in our industry from across the world to fill the highly specialised roles required to help bring new drugs to</w:t>
      </w:r>
      <w:r>
        <w:rPr>
          <w:rFonts w:ascii="Arial" w:cs="Arial" w:eastAsia="Arial" w:hAnsi="Arial"/>
          <w:sz w:val="13"/>
          <w:szCs w:val="13"/>
          <w:b w:val="1"/>
          <w:bCs w:val="1"/>
          <w:color w:val="auto"/>
        </w:rPr>
        <w:t xml:space="preserve"> </w:t>
      </w:r>
      <w:r>
        <w:rPr>
          <w:rFonts w:ascii="Arial" w:cs="Arial" w:eastAsia="Arial" w:hAnsi="Arial"/>
          <w:sz w:val="13"/>
          <w:szCs w:val="13"/>
          <w:color w:val="auto"/>
        </w:rPr>
        <w:t>market. Our most senior roles are truly global in nature. Since 2018, we mandated gender balanced short lists for senior leadership appointments across the organisation in all markets in which we are located.</w:t>
      </w:r>
    </w:p>
    <w:p>
      <w:pPr>
        <w:spacing w:after="0" w:line="161" w:lineRule="exact"/>
        <w:rPr>
          <w:rFonts w:ascii="Arial" w:cs="Arial" w:eastAsia="Arial" w:hAnsi="Arial"/>
          <w:sz w:val="13"/>
          <w:szCs w:val="13"/>
          <w:b w:val="1"/>
          <w:bCs w:val="1"/>
          <w:color w:val="auto"/>
        </w:rPr>
      </w:pPr>
    </w:p>
    <w:p>
      <w:pPr>
        <w:jc w:val="both"/>
        <w:ind w:left="520" w:hanging="260"/>
        <w:spacing w:after="0" w:line="249"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Retention </w:t>
      </w:r>
      <w:r>
        <w:rPr>
          <w:rFonts w:ascii="Arial" w:cs="Arial" w:eastAsia="Arial" w:hAnsi="Arial"/>
          <w:sz w:val="13"/>
          <w:szCs w:val="13"/>
          <w:color w:val="auto"/>
        </w:rPr>
        <w:t>- We offer flexible working arrangements that help our people achieve balance. Prior to the global pandemic experienced in 2020, many of our employees worked remotely.</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Employees were supported to work remotely during 2020. We also support and facilitate part time working arrangements. Approximately 16% of our people work part-time. We have an employee bonus programme linked to individual and company performance and also operate a global recognition programme where peer to peer recognition and awards take place for employees who go the extra mile. We also recognise and reward employees who reach significant service milestones within the company.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887"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520" w:hanging="260"/>
        <w:spacing w:after="0" w:line="290" w:lineRule="auto"/>
        <w:tabs>
          <w:tab w:leader="none" w:pos="511" w:val="left"/>
        </w:tabs>
        <w:numPr>
          <w:ilvl w:val="0"/>
          <w:numId w:val="29"/>
        </w:numPr>
        <w:rPr>
          <w:rFonts w:ascii="Arial" w:cs="Arial" w:eastAsia="Arial" w:hAnsi="Arial"/>
          <w:sz w:val="12"/>
          <w:szCs w:val="12"/>
          <w:color w:val="auto"/>
        </w:rPr>
      </w:pPr>
      <w:r>
        <w:rPr>
          <w:rFonts w:ascii="Arial" w:cs="Arial" w:eastAsia="Arial" w:hAnsi="Arial"/>
          <w:sz w:val="12"/>
          <w:szCs w:val="12"/>
          <w:b w:val="1"/>
          <w:bCs w:val="1"/>
          <w:color w:val="auto"/>
        </w:rPr>
        <w:t xml:space="preserve">Reward </w:t>
      </w:r>
      <w:r>
        <w:rPr>
          <w:rFonts w:ascii="Arial" w:cs="Arial" w:eastAsia="Arial" w:hAnsi="Arial"/>
          <w:sz w:val="12"/>
          <w:szCs w:val="12"/>
          <w:color w:val="auto"/>
        </w:rPr>
        <w:t>- we pay our employees equally for the same or equivalent work. We have worked hard to structure our pay principles to ensure that individual differences are not a factor in how we</w:t>
      </w:r>
      <w:r>
        <w:rPr>
          <w:rFonts w:ascii="Arial" w:cs="Arial" w:eastAsia="Arial" w:hAnsi="Arial"/>
          <w:sz w:val="12"/>
          <w:szCs w:val="12"/>
          <w:b w:val="1"/>
          <w:bCs w:val="1"/>
          <w:color w:val="auto"/>
        </w:rPr>
        <w:t xml:space="preserve"> </w:t>
      </w:r>
      <w:r>
        <w:rPr>
          <w:rFonts w:ascii="Arial" w:cs="Arial" w:eastAsia="Arial" w:hAnsi="Arial"/>
          <w:sz w:val="12"/>
          <w:szCs w:val="12"/>
          <w:color w:val="auto"/>
        </w:rPr>
        <w:t>deliver rewards. We are committed to global pay equity for our employees worldwide and use best-in-class analysis on an ongoing basis to ensure fair pay irrespective of gender, race or</w:t>
      </w:r>
    </w:p>
    <w:p>
      <w:pPr>
        <w:ind w:left="520"/>
        <w:spacing w:after="0" w:line="244" w:lineRule="auto"/>
        <w:rPr>
          <w:rFonts w:ascii="Arial" w:cs="Arial" w:eastAsia="Arial" w:hAnsi="Arial"/>
          <w:sz w:val="12"/>
          <w:szCs w:val="12"/>
          <w:color w:val="auto"/>
        </w:rPr>
      </w:pPr>
      <w:r>
        <w:rPr>
          <w:rFonts w:ascii="Arial" w:cs="Arial" w:eastAsia="Arial" w:hAnsi="Arial"/>
          <w:sz w:val="13"/>
          <w:szCs w:val="13"/>
          <w:color w:val="auto"/>
        </w:rPr>
        <w:t>ethnicity. The information relating to pay decisions is hosted through core technology, enabling our people leaders and employees direct access to information which informs and supports equitable and consistent decision making.</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Principal risks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employee matters refer to Appendix A: Risk Factors on page 155.</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rights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ICON is committed to acting ethically and with integrity in all our business dealings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are committed to human rights and the adoption and pursuit of compliance with the United Nations Guiding Principles on Human Rights. Our business model and our policies are intended to fully comply with applicable human rights legislation in the countries in which we operate. ICON’s Global Supplier Code of Conduct also addresses our zero tolerance stance to slavery and human trafficking. ICON is completely opposed to slavery and human trafficking and will not knowingly support or conduct business with any organisation involved in such activities. ICON does not employ anyone below the minimum employment age in the jurisdictions in which we operate.</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In our Anti-Slavery and Human Trafficking Statement, we set out the measures we are taking to prevent modern slavery in our supply chains, in addition to our own operations. A copy of our Anti-Slavery and Human Trafficking Statement is available on our website at </w:t>
      </w:r>
      <w:r>
        <w:rPr>
          <w:rFonts w:ascii="Arial" w:cs="Arial" w:eastAsia="Arial" w:hAnsi="Arial"/>
          <w:sz w:val="13"/>
          <w:szCs w:val="13"/>
          <w:u w:val="single" w:color="auto"/>
          <w:color w:val="128474"/>
        </w:rPr>
        <w:t>https://investor.iconplc.com</w:t>
      </w:r>
      <w:r>
        <w:rPr>
          <w:rFonts w:ascii="Arial" w:cs="Arial" w:eastAsia="Arial" w:hAnsi="Arial"/>
          <w:sz w:val="13"/>
          <w:szCs w:val="13"/>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Principal Risks</w:t>
      </w:r>
    </w:p>
    <w:p>
      <w:pPr>
        <w:spacing w:after="0" w:line="162" w:lineRule="exact"/>
        <w:rPr>
          <w:sz w:val="20"/>
          <w:szCs w:val="20"/>
          <w:color w:val="auto"/>
        </w:rPr>
      </w:pPr>
    </w:p>
    <w:p>
      <w:pPr>
        <w:ind w:right="2040"/>
        <w:spacing w:after="0" w:line="465" w:lineRule="auto"/>
        <w:rPr>
          <w:sz w:val="20"/>
          <w:szCs w:val="20"/>
          <w:color w:val="auto"/>
        </w:rPr>
      </w:pPr>
      <w:r>
        <w:rPr>
          <w:rFonts w:ascii="Arial" w:cs="Arial" w:eastAsia="Arial" w:hAnsi="Arial"/>
          <w:sz w:val="13"/>
          <w:szCs w:val="13"/>
          <w:color w:val="auto"/>
        </w:rPr>
        <w:t xml:space="preserve">The risks associated with human rights abuses are actively monitored, however, we do not believe these risks meet the threshold of a principal risk for our business. </w:t>
      </w:r>
      <w:r>
        <w:rPr>
          <w:rFonts w:ascii="Arial" w:cs="Arial" w:eastAsia="Arial" w:hAnsi="Arial"/>
          <w:sz w:val="13"/>
          <w:szCs w:val="13"/>
          <w:b w:val="1"/>
          <w:bCs w:val="1"/>
          <w:color w:val="auto"/>
        </w:rPr>
        <w:t>Ethics and Compliance</w:t>
      </w:r>
    </w:p>
    <w:p>
      <w:pPr>
        <w:spacing w:after="0" w:line="47" w:lineRule="exact"/>
        <w:rPr>
          <w:sz w:val="20"/>
          <w:szCs w:val="20"/>
          <w:color w:val="auto"/>
        </w:rPr>
      </w:pPr>
    </w:p>
    <w:p>
      <w:pPr>
        <w:jc w:val="both"/>
        <w:spacing w:after="0"/>
        <w:rPr>
          <w:sz w:val="20"/>
          <w:szCs w:val="20"/>
          <w:color w:val="auto"/>
        </w:rPr>
      </w:pPr>
      <w:r>
        <w:rPr>
          <w:rFonts w:ascii="Arial" w:cs="Arial" w:eastAsia="Arial" w:hAnsi="Arial"/>
          <w:sz w:val="13"/>
          <w:szCs w:val="13"/>
          <w:color w:val="auto"/>
        </w:rPr>
        <w:t>ICON is committed to our core values of Accountability &amp; Delivery, Collaboration, Partnership and Integrity in everything we do. Meeting these values requires us all to work to the highest ethical standards and demonstrate a commitment to honesty, transparency and quality. This is embedded in our Global Code of Ethical Conduct which addresses the core principles underpinning the behaviour required of ICON and our people in our internal interactions with each other and our external dealings with patients, customers, health care professionals, regulators, investors, vendors and other third parties</w:t>
      </w:r>
      <w:r>
        <w:rPr>
          <w:rFonts w:ascii="Arial" w:cs="Arial" w:eastAsia="Arial" w:hAnsi="Arial"/>
          <w:sz w:val="13"/>
          <w:szCs w:val="13"/>
          <w:i w:val="1"/>
          <w:iCs w:val="1"/>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ICON’s Ethics and Compliance Programme is fundamental to ICON’s culture of ownership and commitment to its legal and contractual obligations and its design is built around three core areas –</w:t>
      </w:r>
    </w:p>
    <w:p>
      <w:pPr>
        <w:spacing w:after="0"/>
        <w:rPr>
          <w:sz w:val="20"/>
          <w:szCs w:val="20"/>
          <w:color w:val="auto"/>
        </w:rPr>
      </w:pPr>
      <w:r>
        <w:rPr>
          <w:rFonts w:ascii="Arial" w:cs="Arial" w:eastAsia="Arial" w:hAnsi="Arial"/>
          <w:sz w:val="13"/>
          <w:szCs w:val="13"/>
          <w:color w:val="auto"/>
        </w:rPr>
        <w:t>Prevention, Detection and Correction. The Ethics and Compliance Programme includes:</w:t>
      </w:r>
    </w:p>
    <w:p>
      <w:pPr>
        <w:spacing w:after="0" w:line="189" w:lineRule="exact"/>
        <w:rPr>
          <w:sz w:val="20"/>
          <w:szCs w:val="20"/>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setting standards of conduct in written and accessible company policies and procedures;</w:t>
      </w: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raising awareness through training and regular internal and external communications;</w:t>
      </w: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conducting or monitoring investigations of reported noncompliance in the risk areas under its oversight; and</w:t>
      </w: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enhancement of monitoring and auditing areas of compliance risk.</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There are a number of policies and codes that make up the Ethics and Compliance Programme including the Global Code of Ethical Conduct, the Global Anti-Corruption Compliance Policy, the Ethics Line Charter and the Global Supplier Code of Conduct (together “the Codes”). The Codes are available on our website at https://investor.iconplc.com. All ICON employees are required to complete ICON’s annual Ethics online training, which incorporates the key principles of each of the Codes. Violations of the Codes may result in a variety of corrective actions and in some cases may result in disciplinary action up to and including termination of employment.</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Suspected violations of the Codes may be reported on a confidential (or anonymous, where permitted) basis in accordance with our Ethics Line Charter through ICON’s Ethics Line. ICON has open door, anti-retaliation policies in place to encourage and protect individuals who raise a concern. Ethics line reports are reported to the Board of ICON plc as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Principal risks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ethics and compliance refer to Appendix A: Risk Factors on page 159.</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887"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Anti-bribery and Corruption</w:t>
      </w:r>
    </w:p>
    <w:p>
      <w:pPr>
        <w:spacing w:after="0" w:line="142"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auto"/>
        </w:rPr>
        <w:t>Our anti-bribery/anti-corruption programme ('ABAC Programme') is a key element of our Ethics and Compliance Programme, with principles and requirements based on the underlying principal that we do not tolerate bribery or any other form of corruption or fraud. ICON and all ICON directors, employees, consultants and agents (“Covered Persons”) must act in compliance with international laws and regulations relating to bribery, corruption and illicit payments including, the US Foreign Corrupt Practices Act and the UK Bribery Act 2010.</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has the ISO 37001:2016 certification for its Anti-Bribery Management System having established, implemented, maintained, reviewed and improved an Anti-Bribery Management System that can prevent, detect and mitigate the risk of bribery. Our programme is designed to ensure our compliance with anti-corruption laws, including due diligence, training, policies, procedures, and internal controls.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Bribery and corruption remains a business risk as we conduct our business across the globe and enter into partnerships and collaborations. There is no certainty that all employees and third-party business partners (including our vendors, suppliers, agents, contractors, and other partners) will comply with anti-bribery laws. When working with third parties, we are committed to working with only those who embrace high standards of ethical behaviour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Internal Audit team conducts ABAC Programme audits. Internal Audits focus on testing for compliance and design effectiveness of the overall ABAC Programme, Internal Audit incorporates an assessment of ABAC measures in all audits, as appropriate. In this approach, bribery and corruption risks are incorporated into the risk assessment and scoping process of each audit.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Principal risks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anti-corruption refer to Appendix A: Risk Factors on page 154.</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Information Security and Privacy</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understand that information security and privacy are fundamental to ICON’s business and key to retaining customers, building investor trust, protecting patients and ensuring that we are compliant with global and regional regulations. Our cybersecurity strategy and programme protects our systems and data against the changing threat landscape and it is independently assessed regularly. ICON’s processes and range of information security policies are certified to ISO 27001 and independently audited twice annually as part of surveillance audits and we also have the Cyber Essentials certification.</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people and partners also play a critical role in safeguarding data. ICON has training in place for all employees and contingent workers on information security and privacy practices so they understand their role in terms of information security and privacy and are clear on how to report incidents.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Principal risks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information security and privacy refer to Appendix A: Risk Factors on page 147.</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compliance statement</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Directors, in accordance with Section 225(2) of the Companies Act 2014, acknowledge that they are responsible for securing the Company’s compliance with its relevant obligations as defined within the Companies Act, 2014 (hereinafter called the relevant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Directors confirm that:</w:t>
      </w:r>
    </w:p>
    <w:p>
      <w:pPr>
        <w:spacing w:after="0" w:line="189"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compliance policy statement has been drawn up setting out the Company’s policies with regard to such compliance;</w:t>
      </w: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appropriate arrangements and structures that, in their opinion, are designed to secure material compliance with the Company’s relevant obligations, have been put in place; and</w:t>
      </w: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review has been conducted, during the financial year, of the arrangements and structures that have been put in place to secure the Company’s compliance with the relevant obligations.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887"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Auditor</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Section 383(2) of the Companies Act 2014, KPMG, Chartered Accountants, will continue in office.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340" w:type="dxa"/>
            <w:vAlign w:val="bottom"/>
          </w:tcPr>
          <w:p>
            <w:pPr>
              <w:spacing w:after="0"/>
              <w:rPr>
                <w:sz w:val="20"/>
                <w:szCs w:val="20"/>
                <w:color w:val="auto"/>
              </w:rPr>
            </w:pPr>
            <w:r>
              <w:rPr>
                <w:rFonts w:ascii="Arial" w:cs="Arial" w:eastAsia="Arial" w:hAnsi="Arial"/>
                <w:sz w:val="13"/>
                <w:szCs w:val="13"/>
                <w:color w:val="auto"/>
              </w:rPr>
              <w:t>Steve Cutler</w:t>
            </w:r>
          </w:p>
        </w:tc>
        <w:tc>
          <w:tcPr>
            <w:tcW w:w="2960" w:type="dxa"/>
            <w:vAlign w:val="bottom"/>
          </w:tcPr>
          <w:p>
            <w:pPr>
              <w:ind w:left="1060"/>
              <w:spacing w:after="0"/>
              <w:rPr>
                <w:sz w:val="20"/>
                <w:szCs w:val="20"/>
                <w:color w:val="auto"/>
              </w:rPr>
            </w:pPr>
            <w:r>
              <w:rPr>
                <w:rFonts w:ascii="Arial" w:cs="Arial" w:eastAsia="Arial" w:hAnsi="Arial"/>
                <w:sz w:val="13"/>
                <w:szCs w:val="13"/>
                <w:color w:val="auto"/>
              </w:rPr>
              <w:t>Rónán Murphy</w:t>
            </w:r>
          </w:p>
        </w:tc>
        <w:tc>
          <w:tcPr>
            <w:tcW w:w="1800" w:type="dxa"/>
            <w:vAlign w:val="bottom"/>
          </w:tcPr>
          <w:p>
            <w:pPr>
              <w:ind w:left="1040"/>
              <w:spacing w:after="0"/>
              <w:rPr>
                <w:sz w:val="20"/>
                <w:szCs w:val="20"/>
                <w:color w:val="auto"/>
              </w:rPr>
            </w:pPr>
            <w:r>
              <w:rPr>
                <w:rFonts w:ascii="Arial" w:cs="Arial" w:eastAsia="Arial" w:hAnsi="Arial"/>
                <w:sz w:val="13"/>
                <w:szCs w:val="13"/>
                <w:color w:val="auto"/>
                <w:w w:val="96"/>
              </w:rPr>
              <w:t>27 April 2021</w:t>
            </w:r>
          </w:p>
        </w:tc>
      </w:tr>
      <w:tr>
        <w:trPr>
          <w:trHeight w:val="180"/>
        </w:trPr>
        <w:tc>
          <w:tcPr>
            <w:tcW w:w="2340" w:type="dxa"/>
            <w:vAlign w:val="bottom"/>
          </w:tcPr>
          <w:p>
            <w:pPr>
              <w:spacing w:after="0"/>
              <w:rPr>
                <w:sz w:val="20"/>
                <w:szCs w:val="20"/>
                <w:color w:val="auto"/>
              </w:rPr>
            </w:pPr>
            <w:r>
              <w:rPr>
                <w:rFonts w:ascii="Arial" w:cs="Arial" w:eastAsia="Arial" w:hAnsi="Arial"/>
                <w:sz w:val="13"/>
                <w:szCs w:val="13"/>
                <w:i w:val="1"/>
                <w:iCs w:val="1"/>
                <w:color w:val="auto"/>
              </w:rPr>
              <w:t>Chief Executive Officer</w:t>
            </w:r>
          </w:p>
        </w:tc>
        <w:tc>
          <w:tcPr>
            <w:tcW w:w="2960" w:type="dxa"/>
            <w:vAlign w:val="bottom"/>
          </w:tcPr>
          <w:p>
            <w:pPr>
              <w:ind w:left="1060"/>
              <w:spacing w:after="0"/>
              <w:rPr>
                <w:sz w:val="20"/>
                <w:szCs w:val="20"/>
                <w:color w:val="auto"/>
              </w:rPr>
            </w:pPr>
            <w:r>
              <w:rPr>
                <w:rFonts w:ascii="Arial" w:cs="Arial" w:eastAsia="Arial" w:hAnsi="Arial"/>
                <w:sz w:val="13"/>
                <w:szCs w:val="13"/>
                <w:i w:val="1"/>
                <w:iCs w:val="1"/>
                <w:color w:val="auto"/>
              </w:rPr>
              <w:t>Director</w:t>
            </w:r>
          </w:p>
        </w:tc>
        <w:tc>
          <w:tcPr>
            <w:tcW w:w="1800" w:type="dxa"/>
            <w:vAlign w:val="bottom"/>
          </w:tcPr>
          <w:p>
            <w:pPr>
              <w:spacing w:after="0"/>
              <w:rPr>
                <w:sz w:val="15"/>
                <w:szCs w:val="15"/>
                <w:color w:val="auto"/>
              </w:rPr>
            </w:pPr>
          </w:p>
        </w:tc>
      </w:tr>
    </w:tbl>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159"/>
          </w:cols>
          <w:pgMar w:left="300" w:top="887"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Statement of Directors’ Responsibilities in respect of the Directors’ report and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The directors are responsible for preparing the annual report and the Group and Company financial statements in accordance with applicable law and regulations.</w:t>
      </w:r>
    </w:p>
    <w:p>
      <w:pPr>
        <w:spacing w:after="0" w:line="12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Company law requires the directors to prepare the Group and Company financial statements for each financial year. The directors have elected to prepare the Group and Company financial statements in accordance with IFRS as adopted by the EU and as applied in accordance with the Companies Act 2014.</w:t>
      </w:r>
    </w:p>
    <w:p>
      <w:pPr>
        <w:spacing w:after="0" w:line="12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 In preparing the Group and Company financial statements, the directors are required to:</w:t>
      </w:r>
    </w:p>
    <w:p>
      <w:pPr>
        <w:spacing w:after="0" w:line="120" w:lineRule="exact"/>
        <w:rPr>
          <w:sz w:val="20"/>
          <w:szCs w:val="20"/>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select suitable accounting policies and then apply them consistently;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make judgements and estimates that are reasonable and prudent;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state whether applicable Accounting Standards have been followed, subject to any material departures disclosed and explained in the financial statements;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assess the Group and Company’s ability to continue as a going concern, disclosing, as applicable, matters related to going concern;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use the going concern basis of accounting unless they either intend to liquidate the Group or Company or to cease operations, or have no realistic alternative but to do so.</w:t>
      </w:r>
    </w:p>
    <w:p>
      <w:pPr>
        <w:spacing w:after="0" w:line="84" w:lineRule="exact"/>
        <w:rPr>
          <w:sz w:val="20"/>
          <w:szCs w:val="20"/>
          <w:color w:val="auto"/>
        </w:rPr>
      </w:pPr>
    </w:p>
    <w:p>
      <w:pPr>
        <w:jc w:val="both"/>
        <w:ind w:left="260"/>
        <w:spacing w:after="0" w:line="239" w:lineRule="auto"/>
        <w:rPr>
          <w:sz w:val="20"/>
          <w:szCs w:val="20"/>
          <w:color w:val="auto"/>
        </w:rPr>
      </w:pPr>
      <w:r>
        <w:rPr>
          <w:rFonts w:ascii="Arial" w:cs="Arial" w:eastAsia="Arial" w:hAnsi="Arial"/>
          <w:sz w:val="13"/>
          <w:szCs w:val="13"/>
          <w:color w:val="auto"/>
        </w:rPr>
        <w:t>The directors are responsible for keeping adequate accounting records which disclose with reasonable accuracy at any time the assets, liabilities, financial position of the Group and Company and profit or loss of the Group and which enable them to ensure that the financial statements comply with the provision of the Companies Act 2014. They are responsible for such internal controls as they determine is necessary to enable the preparation of financial statements that are free from material misstatement, whether due to fraud or error, and have general responsible for safeguarding the assets of the Company and the Group, and hence for taking reasonable steps for the prevention and detection of fraud and other irregularities. The directors are also responsible for preparing a directors’ report that complies with the requirements of the Companies Act 2014.</w:t>
      </w:r>
    </w:p>
    <w:p>
      <w:pPr>
        <w:spacing w:after="0" w:line="126" w:lineRule="exact"/>
        <w:rPr>
          <w:sz w:val="20"/>
          <w:szCs w:val="20"/>
          <w:color w:val="auto"/>
        </w:rPr>
      </w:pPr>
    </w:p>
    <w:p>
      <w:pPr>
        <w:jc w:val="both"/>
        <w:ind w:left="260"/>
        <w:spacing w:after="0" w:line="244" w:lineRule="auto"/>
        <w:rPr>
          <w:sz w:val="20"/>
          <w:szCs w:val="20"/>
          <w:color w:val="auto"/>
        </w:rPr>
      </w:pPr>
      <w:r>
        <w:rPr>
          <w:rFonts w:ascii="Arial" w:cs="Arial" w:eastAsia="Arial" w:hAnsi="Arial"/>
          <w:sz w:val="13"/>
          <w:szCs w:val="13"/>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716" w:right="31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41" w:lineRule="exact"/>
        <w:rPr>
          <w:sz w:val="20"/>
          <w:szCs w:val="20"/>
          <w:color w:val="auto"/>
        </w:rPr>
      </w:pPr>
    </w:p>
    <w:p>
      <w:pPr>
        <w:sectPr>
          <w:pgSz w:w="11900" w:h="16838" w:orient="portrait"/>
          <w:cols w:equalWidth="0" w:num="2">
            <w:col w:w="2700" w:space="720"/>
            <w:col w:w="7860"/>
          </w:cols>
          <w:pgMar w:left="300" w:top="716"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716" w:right="319" w:bottom="1440" w:gutter="0" w:footer="0" w:header="0"/>
          <w:type w:val="continuous"/>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716" w:right="31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color w:val="auto"/>
        </w:rPr>
        <w:t>Independent Auditor’s Report to the members of ICON plc</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 on the audit of the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w:t>
      </w:r>
    </w:p>
    <w:p>
      <w:pPr>
        <w:spacing w:after="0" w:line="130"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We have audited the financial statements of ICON plc (‘the Company’) and subsidiaries (together, “the Group”) for the year ended 31 December 2020, set out on pages 31 to 139, which comprise the Consolidated Statement of Profit and Loss, Consolidated Statement of Comprehensive Income, Consolidated Statement of Financial Position, Consolidated Statement of Changes in Equity, Consolidated Statement of Cash Flows, Company Statement of Financial Position, Company Statement of Changes in Equity, Company Statement of Cash Flows and related notes, including the summary of significant accounting policies set out in note 1.The financial reporting framework that has been applied in their preparation is Irish Law and International Financial Reporting Standards (IFRS) as adopted by the European Union.</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In our opinion:</w:t>
      </w:r>
    </w:p>
    <w:p>
      <w:pPr>
        <w:spacing w:after="0" w:line="169" w:lineRule="exact"/>
        <w:rPr>
          <w:sz w:val="20"/>
          <w:szCs w:val="20"/>
          <w:color w:val="auto"/>
        </w:rPr>
      </w:pPr>
    </w:p>
    <w:p>
      <w:pPr>
        <w:ind w:left="520" w:hanging="260"/>
        <w:spacing w:after="0" w:line="225"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Financial Statements give a true and fair view of the assets, liabilities and financial position of the Group and Company as at 31 December 2020 and of the Group’s profit for the year then ended;</w:t>
      </w:r>
    </w:p>
    <w:p>
      <w:pPr>
        <w:spacing w:after="0" w:line="165"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Group Financial Statements have been properly prepared in accordance with IFRS as adopted by the European Union;</w:t>
      </w:r>
    </w:p>
    <w:p>
      <w:pPr>
        <w:spacing w:after="0" w:line="168" w:lineRule="exact"/>
        <w:rPr>
          <w:rFonts w:ascii="Arial" w:cs="Arial" w:eastAsia="Arial" w:hAnsi="Arial"/>
          <w:sz w:val="13"/>
          <w:szCs w:val="13"/>
          <w:color w:val="auto"/>
        </w:rPr>
      </w:pPr>
    </w:p>
    <w:p>
      <w:pPr>
        <w:ind w:left="520" w:hanging="260"/>
        <w:spacing w:after="0" w:line="225"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Company Financial Statements have been properly prepared in accordance with IFRS as adopted by the European Union, as applied in accordance with the provisions of the Companies Act 2014; and</w:t>
      </w:r>
    </w:p>
    <w:p>
      <w:pPr>
        <w:spacing w:after="0" w:line="165"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Group and Company Financial Statements have been properly prepared in accordance with the requirements of the Companies Act 2014.</w:t>
      </w: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30"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We conducted our audit in accordance with International Standards on Auditing (Ireland) (ISAs (Ireland)) and applicable law. Our responsibilities under those standards are further described in the Auditor's responsibilities for the audit of the financial statements section of our report. We have fulfilled our ethical responsibilities under, and we remained independent of the Group in accordance with ethical requirements that are relevant to our audit of financial statements in Ireland, including the Ethical Standard issued by the Irish Auditing and Accounting Supervisory Authority (IAASA), as applied to listed entities.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the audit evidence we have obtained is sufficient and appropriate to provide a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Conclusions relating to going concern</w:t>
      </w:r>
    </w:p>
    <w:p>
      <w:pPr>
        <w:spacing w:after="0" w:line="130" w:lineRule="exact"/>
        <w:rPr>
          <w:sz w:val="20"/>
          <w:szCs w:val="20"/>
          <w:color w:val="auto"/>
        </w:rPr>
      </w:pPr>
    </w:p>
    <w:p>
      <w:pPr>
        <w:ind w:right="200"/>
        <w:spacing w:after="0" w:line="204" w:lineRule="auto"/>
        <w:rPr>
          <w:sz w:val="20"/>
          <w:szCs w:val="20"/>
          <w:color w:val="auto"/>
        </w:rPr>
      </w:pPr>
      <w:r>
        <w:rPr>
          <w:rFonts w:ascii="Arial" w:cs="Arial" w:eastAsia="Arial" w:hAnsi="Arial"/>
          <w:sz w:val="13"/>
          <w:szCs w:val="13"/>
          <w:color w:val="auto"/>
        </w:rPr>
        <w:t>In auditing the financial statements, we have concluded that the director's use of the going concern basis of accounting in the preparation of the financial statements is appropriate. Our evaluation of the director’s assessment of the Group’s ability to continue to adopt the going concern basis of accounting included:</w:t>
      </w: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agreeing the underlying cash flow projections to management approved forecasts, assessing how these forecasts are compiled, and assessing the accuracy of management’s forecasts;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evaluating the key assumptions within management’s forecasts;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considering liquidity and available financial resources;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assessing whether the stress testing performed by management appropriately considered the principal risks facing the business; and</w:t>
      </w:r>
    </w:p>
    <w:p>
      <w:pPr>
        <w:spacing w:after="0" w:line="146"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evaluating the feasibility of management’s mitigating actions in the stress testing scenarios.</w:t>
      </w:r>
    </w:p>
    <w:p>
      <w:pPr>
        <w:jc w:val="both"/>
        <w:spacing w:after="0" w:line="233" w:lineRule="auto"/>
        <w:rPr>
          <w:sz w:val="20"/>
          <w:szCs w:val="20"/>
          <w:color w:val="auto"/>
        </w:rPr>
      </w:pPr>
      <w:r>
        <w:rPr>
          <w:rFonts w:ascii="Arial" w:cs="Arial" w:eastAsia="Arial" w:hAnsi="Arial"/>
          <w:sz w:val="13"/>
          <w:szCs w:val="13"/>
          <w:color w:val="auto"/>
        </w:rPr>
        <w:t>Based on the work we have performed, we have not identified any material uncertainties relating to events or conditions that, individually or collectively, may cast significant doubt on the Company’s ability to continue as a going concern for a period of at least twelve months from the date when the financial statements are authorised for issue.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audit matters: our assessment of risks of material misstatement</w:t>
      </w:r>
    </w:p>
    <w:p>
      <w:pPr>
        <w:spacing w:after="0" w:line="132"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Key audit matters are those matters that, in our professional judgment, were of most significance in the audit of the financial statements and include the most significant assessed risks of material misstatement (whether or not due to fraud) identified by us, including those which had the greatest effect on: the overall audit strategy; the allocation of resources in the audit; and directing the efforts of the engagement team. These matters were addressed in the context of our audit of the financial statements as a whole, and in forming our opinion thereon, and we do not provide a separate opinion on these matters.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907"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In arriving at our audit opinion above, the key audit matter was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for clinical trial service contracts</w:t>
      </w:r>
    </w:p>
    <w:p>
      <w:pPr>
        <w:spacing w:after="0" w:line="191"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As discussed in Note 33 to the consolidated financial statements, the Group recognised revenue of US$2,797.3 million for the year ended 31 December 2020, a significant portion of which relates to clinical trial service revenue. As discussed in Note 1 to the consolidated financial statements, clinical trial service revenue is recognised over time, using an input measure, being total project costs (inclusive of third party costs) incurred to date relative to total forecast project costs, to measure progress towards satisfying the Group’s performance obligation. The transaction price is based on the contract or latest change order value, adjusted to reflect the estimated realisable contract value.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key audit matter</w:t>
      </w:r>
    </w:p>
    <w:p>
      <w:pPr>
        <w:spacing w:after="0" w:line="206" w:lineRule="exact"/>
        <w:rPr>
          <w:sz w:val="20"/>
          <w:szCs w:val="20"/>
          <w:color w:val="auto"/>
        </w:rPr>
      </w:pPr>
    </w:p>
    <w:p>
      <w:pPr>
        <w:ind w:right="340"/>
        <w:spacing w:after="0" w:line="244" w:lineRule="auto"/>
        <w:rPr>
          <w:sz w:val="20"/>
          <w:szCs w:val="20"/>
          <w:color w:val="auto"/>
        </w:rPr>
      </w:pPr>
      <w:r>
        <w:rPr>
          <w:rFonts w:ascii="Arial" w:cs="Arial" w:eastAsia="Arial" w:hAnsi="Arial"/>
          <w:sz w:val="13"/>
          <w:szCs w:val="13"/>
          <w:color w:val="auto"/>
        </w:rPr>
        <w:t>We identified revenue recognition for clinical trial services contracts as a key audit matter. Complex and subjective auditor judgment was required to evaluate the Group’s estimate of total forecast project costs and realisable contract values.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the matter was addressed in our audit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Our audit procedures included, amongst others:</w:t>
      </w:r>
    </w:p>
    <w:p>
      <w:pPr>
        <w:spacing w:after="0" w:line="116"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rPr>
        <w:t>We evaluated the design and tested the operating effectiveness of certain internal controls related to the revenue process, including controls over total forecast project costs and estimated realisable contract values.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We tested the total forecast project costs and the realisable contract values for a sample of clinical trial service contracts, by evaluating:</w:t>
      </w:r>
    </w:p>
    <w:p>
      <w:pPr>
        <w:spacing w:after="0" w:line="179" w:lineRule="exact"/>
        <w:rPr>
          <w:sz w:val="20"/>
          <w:szCs w:val="20"/>
          <w:color w:val="auto"/>
        </w:rPr>
      </w:pPr>
    </w:p>
    <w:p>
      <w:pPr>
        <w:ind w:left="260" w:hanging="223"/>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Direct costs incurred, both during the year and cumulative over the life of the contracts. We tested the accuracy and completeness of the direct costs by agreeing to source data;</w:t>
      </w:r>
    </w:p>
    <w:p>
      <w:pPr>
        <w:spacing w:after="0" w:line="179" w:lineRule="exact"/>
        <w:rPr>
          <w:rFonts w:ascii="Arial" w:cs="Arial" w:eastAsia="Arial" w:hAnsi="Arial"/>
          <w:sz w:val="13"/>
          <w:szCs w:val="13"/>
          <w:color w:val="auto"/>
        </w:rPr>
      </w:pPr>
    </w:p>
    <w:p>
      <w:pPr>
        <w:ind w:left="260" w:hanging="223"/>
        <w:spacing w:after="0" w:line="225" w:lineRule="auto"/>
        <w:tabs>
          <w:tab w:leader="none" w:pos="251"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Third-party costs incurred, both during the year and cumulative over the life of the contracts. We tested the accuracy and completeness of the third-party costs incurred by agreeing to invoices received;</w:t>
      </w:r>
    </w:p>
    <w:p>
      <w:pPr>
        <w:spacing w:after="0" w:line="165" w:lineRule="exact"/>
        <w:rPr>
          <w:rFonts w:ascii="Arial" w:cs="Arial" w:eastAsia="Arial" w:hAnsi="Arial"/>
          <w:sz w:val="13"/>
          <w:szCs w:val="13"/>
          <w:color w:val="auto"/>
        </w:rPr>
      </w:pPr>
    </w:p>
    <w:p>
      <w:pPr>
        <w:ind w:left="260" w:hanging="223"/>
        <w:spacing w:after="0" w:line="233" w:lineRule="auto"/>
        <w:tabs>
          <w:tab w:leader="none" w:pos="251" w:val="left"/>
        </w:tabs>
        <w:numPr>
          <w:ilvl w:val="0"/>
          <w:numId w:val="35"/>
        </w:numPr>
        <w:rPr>
          <w:rFonts w:ascii="Arial" w:cs="Arial" w:eastAsia="Arial" w:hAnsi="Arial"/>
          <w:sz w:val="13"/>
          <w:szCs w:val="13"/>
          <w:color w:val="auto"/>
        </w:rPr>
      </w:pPr>
      <w:r>
        <w:rPr>
          <w:rFonts w:ascii="Arial" w:cs="Arial" w:eastAsia="Arial" w:hAnsi="Arial"/>
          <w:sz w:val="13"/>
          <w:szCs w:val="13"/>
          <w:color w:val="auto"/>
        </w:rPr>
        <w:t>Findings from interviews with operational personnel of the Company to assess progress to date, the estimate of remaining costs to be incurred and factors impacting the amount of time and costs to complete the sampled contracts, including an understanding of the nature and complexity of the work to be performed;</w:t>
      </w:r>
    </w:p>
    <w:p>
      <w:pPr>
        <w:spacing w:after="0" w:line="176" w:lineRule="exact"/>
        <w:rPr>
          <w:rFonts w:ascii="Arial" w:cs="Arial" w:eastAsia="Arial" w:hAnsi="Arial"/>
          <w:sz w:val="13"/>
          <w:szCs w:val="13"/>
          <w:color w:val="auto"/>
        </w:rPr>
      </w:pPr>
    </w:p>
    <w:p>
      <w:pPr>
        <w:ind w:left="260" w:hanging="223"/>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Correspondence of amendments to the scope or contract value, if any, between the Group and the customer for the sampled contracts as part of our evaluation of contract progress;</w:t>
      </w:r>
    </w:p>
    <w:p>
      <w:pPr>
        <w:spacing w:after="0" w:line="179" w:lineRule="exact"/>
        <w:rPr>
          <w:rFonts w:ascii="Arial" w:cs="Arial" w:eastAsia="Arial" w:hAnsi="Arial"/>
          <w:sz w:val="13"/>
          <w:szCs w:val="13"/>
          <w:color w:val="auto"/>
        </w:rPr>
      </w:pPr>
    </w:p>
    <w:p>
      <w:pPr>
        <w:ind w:left="260" w:hanging="223"/>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Changes to estimated costs, including the amount and timing of the changes; and</w:t>
      </w:r>
    </w:p>
    <w:p>
      <w:pPr>
        <w:spacing w:after="0" w:line="179" w:lineRule="exact"/>
        <w:rPr>
          <w:rFonts w:ascii="Arial" w:cs="Arial" w:eastAsia="Arial" w:hAnsi="Arial"/>
          <w:sz w:val="13"/>
          <w:szCs w:val="13"/>
          <w:color w:val="auto"/>
        </w:rPr>
      </w:pPr>
    </w:p>
    <w:p>
      <w:pPr>
        <w:ind w:left="260" w:hanging="223"/>
        <w:spacing w:after="0" w:line="233" w:lineRule="auto"/>
        <w:tabs>
          <w:tab w:leader="none" w:pos="251"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reasonableness of the Group’s adjustments from total contract value to arrive at realisable contract value. We confirmed total contract value with customers and compared the assumptions used to derive the adjustments from total contract value to realisable contract value to underlying records.</w:t>
      </w:r>
    </w:p>
    <w:p>
      <w:pPr>
        <w:spacing w:after="0" w:line="177"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rPr>
        <w:t>We also evaluated the Group’s methods, assumptions and data used to accurately estimate total forecast project costs and realisable contract values, by comparing historical estimates developed at contract inception to actual results for certain contracts.</w:t>
      </w:r>
    </w:p>
    <w:p>
      <w:pPr>
        <w:spacing w:after="0" w:line="177"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rPr>
        <w:t>Our procedures in respect of this risk were performed as planned. We found that the estimates and judgements used in determining the progress towards completion and realisable contract value related to revenue recognition for clinical trial services contracts were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Parent Company key audit matters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Due to the nature of the Parent Company’s activities, there are no key audit matters that we are required to communicate in accordance with ISAs (Ireland).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application of materiality and an overview of the scope of our audit</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Materiality for the Group Financial Statements as a whole was set at US$17.5 million (2019: US$20.0 million). Materiality for the Company Financial Statements was set at US$10.7 million (2019:</w:t>
      </w:r>
    </w:p>
    <w:p>
      <w:pPr>
        <w:spacing w:after="0"/>
        <w:rPr>
          <w:sz w:val="20"/>
          <w:szCs w:val="20"/>
          <w:color w:val="auto"/>
        </w:rPr>
      </w:pPr>
      <w:r>
        <w:rPr>
          <w:rFonts w:ascii="Arial" w:cs="Arial" w:eastAsia="Arial" w:hAnsi="Arial"/>
          <w:sz w:val="13"/>
          <w:szCs w:val="13"/>
          <w:color w:val="auto"/>
        </w:rPr>
        <w:t>US$9.5 million).</w:t>
      </w:r>
    </w:p>
    <w:p>
      <w:pPr>
        <w:spacing w:after="0" w:line="179"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rPr>
        <w:t>For the Group, materiality has been calculated as 5% of the benchmark of expected Group profit before tax (this estimated amount was based on earnings guidance available at the planning stage of the audit), which we have determined in our professional judgement, to be one of the principal benchmarks within the financial statements relevant to members of the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80"/>
          </w:cols>
          <w:pgMar w:left="300" w:top="887"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Company in assessing the financial performance of the Group. For the Parent Company, materiality has been calculated based on 1% of the benchmark of total assets. We applied materiality to assist us determine what risks were significant risks and the procedures to be performed.</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We report to the Audit Committee all corrected and uncorrected audit misstatements we identified through our audit in excess of US$0.9 million (Group) and US$0.5 million (Company), in addition to other audit misstatements below that threshold that we believe warranted reporting on qualitative grounds.</w:t>
      </w:r>
    </w:p>
    <w:p>
      <w:pPr>
        <w:spacing w:after="0" w:line="177"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auto"/>
        </w:rPr>
        <w:t>The structure of the Group’s finance function is such that the majority of transactions and balances are accounted for by the central Group finance team. We performed comprehensive audit procedures, including those in relation to the significant risk set out above, on those transactions accounted for at Group level. Our audit covered 96% of total Group revenue and 98% of total Group assets, including 100% of the Parent Company’s revenue and total assets.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All audit procedures were undertaken by the Group audit team.</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information</w:t>
      </w:r>
    </w:p>
    <w:p>
      <w:pPr>
        <w:spacing w:after="0" w:line="119"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The directors are responsible for the other information presented in the Annual Report together with the financial statements. The other information comprises the information included in the directors’ report. The financial statements and our auditor’s report thereon do not comprise part of the other information. Our opinion on the financial statements does not cover the other information and, accordingly, we do not express an audit opinion or, except as explicitly stated below, any form of assurance conclusion thereon.</w:t>
      </w:r>
    </w:p>
    <w:p>
      <w:pPr>
        <w:spacing w:after="0" w:line="166" w:lineRule="exact"/>
        <w:rPr>
          <w:sz w:val="20"/>
          <w:szCs w:val="20"/>
          <w:color w:val="auto"/>
        </w:rPr>
      </w:pPr>
    </w:p>
    <w:p>
      <w:pPr>
        <w:jc w:val="both"/>
        <w:spacing w:after="0" w:line="225" w:lineRule="auto"/>
        <w:rPr>
          <w:sz w:val="20"/>
          <w:szCs w:val="20"/>
          <w:color w:val="auto"/>
        </w:rPr>
      </w:pPr>
      <w:r>
        <w:rPr>
          <w:rFonts w:ascii="Arial" w:cs="Arial" w:eastAsia="Arial" w:hAnsi="Arial"/>
          <w:sz w:val="13"/>
          <w:szCs w:val="13"/>
          <w:color w:val="auto"/>
        </w:rPr>
        <w:t>Our responsibility is to read the other information and, in doing so, consider whether, based on our financial statements audit work, the information therein is materially misstated or inconsistent with the financial statements or our audit knowledge. Based solely on that work we have not identified material misstatements in the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Based solely on our work on the other information undertaken during the course of the audit, we report that in those parts of the directors’ report specified for our consideration:</w:t>
      </w:r>
    </w:p>
    <w:p>
      <w:pPr>
        <w:spacing w:after="0" w:line="179" w:lineRule="exact"/>
        <w:rPr>
          <w:sz w:val="20"/>
          <w:szCs w:val="20"/>
          <w:color w:val="auto"/>
        </w:rPr>
      </w:pP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have not identified material misstatements in the directors’ report;</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our opinion, the information given in the directors’ report is consistent with the financial statements;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our opinion, the directors’ report has been prepared in accordance with the Companies Act 2014.</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opinions on other matters prescribed by the Companies Act 2014 are unmodified</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We have obtained all the information and explanations which we consider necessary for the purpose of our audit.</w:t>
      </w:r>
    </w:p>
    <w:p>
      <w:pPr>
        <w:spacing w:after="0" w:line="169" w:lineRule="exact"/>
        <w:rPr>
          <w:sz w:val="20"/>
          <w:szCs w:val="20"/>
          <w:color w:val="auto"/>
        </w:rPr>
      </w:pPr>
    </w:p>
    <w:p>
      <w:pPr>
        <w:jc w:val="both"/>
        <w:spacing w:after="0" w:line="225" w:lineRule="auto"/>
        <w:rPr>
          <w:sz w:val="20"/>
          <w:szCs w:val="20"/>
          <w:color w:val="auto"/>
        </w:rPr>
      </w:pPr>
      <w:r>
        <w:rPr>
          <w:rFonts w:ascii="Arial" w:cs="Arial" w:eastAsia="Arial" w:hAnsi="Arial"/>
          <w:sz w:val="13"/>
          <w:szCs w:val="13"/>
          <w:color w:val="auto"/>
        </w:rPr>
        <w:t>In our opinion, the accounting records of the Company were sufficient to permit the financial statements to be readily and properly audited and the Company’s financial statements are in agreement with the accounting records.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nothing to report on other matters on which we are required to report by exception</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The Companies Act 2014 requires us to report to you if, in our opinion, the disclosures of directors’ remuneration and transactions required by Sections 305 to 312 of the Act are not made.</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Companies Act 2014 also requires us to report to you if, in our opinion, the Company has not provided the information required by section 5(2) to (7) of the European Union (Disclosure of Non-Financial and Diversity Information by certain large undertakings and groups) Regulations 2017 for the year ended 31 December 2019 as required by the European Union (Disclosure of Non-Financial and Diversity Information by certain large undertakings and groups) (amendment) Regulations 2018.</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We have nothing to report in this regard.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Respective responsibilities and restrictions on use</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Directors’ responsibilities</w:t>
      </w:r>
    </w:p>
    <w:p>
      <w:pPr>
        <w:spacing w:after="0" w:line="130"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As explained more fully in their statement set out on page 26, the directors are responsible for: the preparation of the financial statements including being satisfied that they give a true and fair view; such internal control as they determine is necessary to enable the preparation of financial statements that are free from material misstatement, whether due to fraud or error; assessing the Company’s ability to continue as a going concern, disclosing, as applicable, matters related to going concern; and using the going concern basis of accounting unless they either intend to liquidate the Company or to cease operations, or have no realistic alternative but to do so.</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887"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Auditor’s responsibilities for the audit of the financial statements</w:t>
      </w:r>
    </w:p>
    <w:p>
      <w:pPr>
        <w:spacing w:after="0" w:line="130" w:lineRule="exact"/>
        <w:rPr>
          <w:sz w:val="20"/>
          <w:szCs w:val="20"/>
          <w:color w:val="auto"/>
        </w:rPr>
      </w:pPr>
    </w:p>
    <w:p>
      <w:pPr>
        <w:jc w:val="both"/>
        <w:spacing w:after="0" w:line="204" w:lineRule="auto"/>
        <w:rPr>
          <w:sz w:val="20"/>
          <w:szCs w:val="20"/>
          <w:color w:val="auto"/>
        </w:rPr>
      </w:pPr>
      <w:r>
        <w:rPr>
          <w:rFonts w:ascii="Arial" w:cs="Arial" w:eastAsia="Arial" w:hAnsi="Arial"/>
          <w:sz w:val="13"/>
          <w:szCs w:val="13"/>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(Ireland)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A fuller description of our responsibilities is provided on IAASA’s website at http://www.iaasa.ie/Publications/Auditing-standards/International-Standards-on-Auditing-for-use-in-Ire/Description-of-the-auditor-s-responsibilities-for.</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our report, or for the opinions we have formed.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purpose of our audit work and to whom we owe our responsibilities</w:t>
      </w:r>
    </w:p>
    <w:p>
      <w:pPr>
        <w:spacing w:after="0" w:line="193"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our report, or for the opinions we have 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20" w:val="left"/>
        </w:tabs>
        <w:rPr>
          <w:sz w:val="20"/>
          <w:szCs w:val="20"/>
          <w:color w:val="auto"/>
        </w:rPr>
      </w:pPr>
      <w:r>
        <w:rPr>
          <w:rFonts w:ascii="Arial" w:cs="Arial" w:eastAsia="Arial" w:hAnsi="Arial"/>
          <w:sz w:val="14"/>
          <w:szCs w:val="14"/>
          <w:color w:val="auto"/>
        </w:rPr>
        <w:t>Sean O’Keefe</w:t>
      </w:r>
      <w:r>
        <w:rPr>
          <w:sz w:val="20"/>
          <w:szCs w:val="20"/>
          <w:color w:val="auto"/>
        </w:rPr>
        <w:tab/>
      </w:r>
      <w:r>
        <w:rPr>
          <w:rFonts w:ascii="Arial" w:cs="Arial" w:eastAsia="Arial" w:hAnsi="Arial"/>
          <w:sz w:val="12"/>
          <w:szCs w:val="12"/>
          <w:color w:val="auto"/>
        </w:rPr>
        <w:t>27 April 2021</w:t>
      </w:r>
    </w:p>
    <w:p>
      <w:pPr>
        <w:spacing w:after="0"/>
        <w:rPr>
          <w:sz w:val="20"/>
          <w:szCs w:val="20"/>
          <w:color w:val="auto"/>
        </w:rPr>
      </w:pPr>
      <w:r>
        <w:rPr>
          <w:rFonts w:ascii="Arial" w:cs="Arial" w:eastAsia="Arial" w:hAnsi="Arial"/>
          <w:sz w:val="13"/>
          <w:szCs w:val="13"/>
          <w:b w:val="1"/>
          <w:bCs w:val="1"/>
          <w:color w:val="auto"/>
        </w:rPr>
        <w:t>for and on behalf of</w:t>
      </w:r>
    </w:p>
    <w:p>
      <w:pPr>
        <w:spacing w:after="0"/>
        <w:rPr>
          <w:sz w:val="20"/>
          <w:szCs w:val="20"/>
          <w:color w:val="auto"/>
        </w:rPr>
      </w:pPr>
      <w:r>
        <w:rPr>
          <w:rFonts w:ascii="Arial" w:cs="Arial" w:eastAsia="Arial" w:hAnsi="Arial"/>
          <w:sz w:val="13"/>
          <w:szCs w:val="13"/>
          <w:b w:val="1"/>
          <w:bCs w:val="1"/>
          <w:color w:val="auto"/>
        </w:rPr>
        <w:t>KPMG</w:t>
      </w:r>
    </w:p>
    <w:p>
      <w:pPr>
        <w:spacing w:after="0"/>
        <w:rPr>
          <w:sz w:val="20"/>
          <w:szCs w:val="20"/>
          <w:color w:val="auto"/>
        </w:rPr>
      </w:pPr>
      <w:r>
        <w:rPr>
          <w:rFonts w:ascii="Arial" w:cs="Arial" w:eastAsia="Arial" w:hAnsi="Arial"/>
          <w:sz w:val="13"/>
          <w:szCs w:val="13"/>
          <w:b w:val="1"/>
          <w:bCs w:val="1"/>
          <w:color w:val="auto"/>
        </w:rPr>
        <w:t>Chartered Accountants, Statutory Audit Firm</w:t>
      </w:r>
    </w:p>
    <w:p>
      <w:pPr>
        <w:spacing w:after="0"/>
        <w:rPr>
          <w:sz w:val="20"/>
          <w:szCs w:val="20"/>
          <w:color w:val="auto"/>
        </w:rPr>
      </w:pPr>
      <w:r>
        <w:rPr>
          <w:rFonts w:ascii="Arial" w:cs="Arial" w:eastAsia="Arial" w:hAnsi="Arial"/>
          <w:sz w:val="13"/>
          <w:szCs w:val="13"/>
          <w:i w:val="1"/>
          <w:iCs w:val="1"/>
          <w:color w:val="auto"/>
        </w:rPr>
        <w:t>1 Stokes Place</w:t>
      </w:r>
    </w:p>
    <w:p>
      <w:pPr>
        <w:spacing w:after="0"/>
        <w:rPr>
          <w:sz w:val="20"/>
          <w:szCs w:val="20"/>
          <w:color w:val="auto"/>
        </w:rPr>
      </w:pPr>
      <w:r>
        <w:rPr>
          <w:rFonts w:ascii="Arial" w:cs="Arial" w:eastAsia="Arial" w:hAnsi="Arial"/>
          <w:sz w:val="13"/>
          <w:szCs w:val="13"/>
          <w:i w:val="1"/>
          <w:iCs w:val="1"/>
          <w:color w:val="auto"/>
        </w:rPr>
        <w:t>St. Stephen’s Green</w:t>
      </w:r>
    </w:p>
    <w:p>
      <w:pPr>
        <w:spacing w:after="0"/>
        <w:rPr>
          <w:sz w:val="20"/>
          <w:szCs w:val="20"/>
          <w:color w:val="auto"/>
        </w:rPr>
      </w:pPr>
      <w:r>
        <w:rPr>
          <w:rFonts w:ascii="Arial" w:cs="Arial" w:eastAsia="Arial" w:hAnsi="Arial"/>
          <w:sz w:val="13"/>
          <w:szCs w:val="13"/>
          <w:i w:val="1"/>
          <w:iCs w:val="1"/>
          <w:color w:val="auto"/>
        </w:rPr>
        <w:t>Dublin 2</w:t>
      </w:r>
    </w:p>
    <w:p>
      <w:pPr>
        <w:spacing w:after="0"/>
        <w:rPr>
          <w:sz w:val="20"/>
          <w:szCs w:val="20"/>
          <w:color w:val="auto"/>
        </w:rPr>
      </w:pPr>
      <w:r>
        <w:rPr>
          <w:rFonts w:ascii="Arial" w:cs="Arial" w:eastAsia="Arial" w:hAnsi="Arial"/>
          <w:sz w:val="13"/>
          <w:szCs w:val="13"/>
          <w:i w:val="1"/>
          <w:iCs w:val="1"/>
          <w:color w:val="auto"/>
        </w:rPr>
        <w:t>Ireland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887"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Consolidated Statement of Profit and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spacing w:after="0"/>
              <w:rPr>
                <w:sz w:val="13"/>
                <w:szCs w:val="13"/>
                <w:color w:val="auto"/>
              </w:rPr>
            </w:pPr>
          </w:p>
        </w:tc>
        <w:tc>
          <w:tcPr>
            <w:tcW w:w="25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31 December</w:t>
            </w:r>
          </w:p>
        </w:tc>
        <w:tc>
          <w:tcPr>
            <w:tcW w:w="1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25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25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2020</w:t>
            </w:r>
          </w:p>
        </w:tc>
        <w:tc>
          <w:tcPr>
            <w:tcW w:w="1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500" w:type="dxa"/>
            <w:vAlign w:val="bottom"/>
          </w:tcPr>
          <w:p>
            <w:pPr>
              <w:jc w:val="right"/>
              <w:ind w:right="416"/>
              <w:spacing w:after="0" w:line="128" w:lineRule="exact"/>
              <w:rPr>
                <w:sz w:val="20"/>
                <w:szCs w:val="20"/>
                <w:color w:val="auto"/>
              </w:rPr>
            </w:pPr>
            <w:r>
              <w:rPr>
                <w:rFonts w:ascii="Arial" w:cs="Arial" w:eastAsia="Arial" w:hAnsi="Arial"/>
                <w:sz w:val="13"/>
                <w:szCs w:val="13"/>
                <w:b w:val="1"/>
                <w:bCs w:val="1"/>
                <w:color w:val="auto"/>
              </w:rPr>
              <w:t>Excluding</w:t>
            </w:r>
          </w:p>
        </w:tc>
        <w:tc>
          <w:tcPr>
            <w:tcW w:w="160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(Note 8)</w:t>
            </w:r>
          </w:p>
        </w:tc>
        <w:tc>
          <w:tcPr>
            <w:tcW w:w="206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Including</w:t>
            </w:r>
          </w:p>
        </w:tc>
        <w:tc>
          <w:tcPr>
            <w:tcW w:w="206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3"/>
                <w:szCs w:val="13"/>
                <w:color w:val="auto"/>
              </w:rPr>
              <w:t>Including</w:t>
            </w:r>
          </w:p>
        </w:tc>
        <w:tc>
          <w:tcPr>
            <w:tcW w:w="0" w:type="dxa"/>
            <w:vAlign w:val="bottom"/>
          </w:tcPr>
          <w:p>
            <w:pPr>
              <w:spacing w:after="0"/>
              <w:rPr>
                <w:sz w:val="1"/>
                <w:szCs w:val="1"/>
                <w:color w:val="auto"/>
              </w:rPr>
            </w:pPr>
          </w:p>
        </w:tc>
      </w:tr>
      <w:tr>
        <w:trPr>
          <w:trHeight w:val="169"/>
        </w:trPr>
        <w:tc>
          <w:tcPr>
            <w:tcW w:w="25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right w:val="single" w:sz="8" w:color="auto"/>
            </w:tcBorders>
          </w:tcPr>
          <w:p>
            <w:pPr>
              <w:spacing w:after="0"/>
              <w:rPr>
                <w:sz w:val="14"/>
                <w:szCs w:val="14"/>
                <w:color w:val="auto"/>
              </w:rPr>
            </w:pPr>
          </w:p>
        </w:tc>
        <w:tc>
          <w:tcPr>
            <w:tcW w:w="25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Exceptional items</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Exceptional items</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Exceptional items</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Exceptional items</w:t>
            </w:r>
          </w:p>
        </w:tc>
        <w:tc>
          <w:tcPr>
            <w:tcW w:w="0" w:type="dxa"/>
            <w:vAlign w:val="bottom"/>
          </w:tcPr>
          <w:p>
            <w:pPr>
              <w:spacing w:after="0"/>
              <w:rPr>
                <w:sz w:val="1"/>
                <w:szCs w:val="1"/>
                <w:color w:val="auto"/>
              </w:rPr>
            </w:pPr>
          </w:p>
        </w:tc>
      </w:tr>
      <w:tr>
        <w:trPr>
          <w:trHeight w:val="16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Continuing Operations</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i w:val="1"/>
                <w:iCs w:val="1"/>
                <w:color w:val="auto"/>
              </w:rPr>
              <w:t>Note</w:t>
            </w:r>
          </w:p>
        </w:tc>
        <w:tc>
          <w:tcPr>
            <w:tcW w:w="25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50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2</w:t>
            </w:r>
          </w:p>
        </w:tc>
        <w:tc>
          <w:tcPr>
            <w:tcW w:w="250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2,797,288</w:t>
            </w:r>
          </w:p>
        </w:tc>
        <w:tc>
          <w:tcPr>
            <w:tcW w:w="160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206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2,797,288</w:t>
            </w:r>
          </w:p>
        </w:tc>
        <w:tc>
          <w:tcPr>
            <w:tcW w:w="206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2,805,839</w:t>
            </w: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500" w:type="dxa"/>
            <w:vAlign w:val="bottom"/>
            <w:tcBorders>
              <w:right w:val="single" w:sz="8" w:color="auto"/>
            </w:tcBorders>
            <w:shd w:val="clear" w:color="auto" w:fill="CCEEFF"/>
          </w:tcPr>
          <w:p>
            <w:pPr>
              <w:spacing w:after="0"/>
              <w:rPr>
                <w:sz w:val="14"/>
                <w:szCs w:val="14"/>
                <w:color w:val="auto"/>
              </w:rPr>
            </w:pPr>
          </w:p>
        </w:tc>
        <w:tc>
          <w:tcPr>
            <w:tcW w:w="250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(1,980,369)</w:t>
            </w:r>
          </w:p>
        </w:tc>
        <w:tc>
          <w:tcPr>
            <w:tcW w:w="1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(8,887)</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(1,989,256)</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(1,973,621)</w:t>
            </w:r>
          </w:p>
        </w:tc>
        <w:tc>
          <w:tcPr>
            <w:tcW w:w="0" w:type="dxa"/>
            <w:vAlign w:val="bottom"/>
          </w:tcPr>
          <w:p>
            <w:pPr>
              <w:spacing w:after="0"/>
              <w:rPr>
                <w:sz w:val="1"/>
                <w:szCs w:val="1"/>
                <w:color w:val="auto"/>
              </w:rPr>
            </w:pPr>
          </w:p>
        </w:tc>
      </w:tr>
      <w:tr>
        <w:trPr>
          <w:trHeight w:val="16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operating expenses</w:t>
            </w:r>
          </w:p>
        </w:tc>
        <w:tc>
          <w:tcPr>
            <w:tcW w:w="50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(406,863)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(9,202)</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(416,065)</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(396,087)</w:t>
            </w:r>
          </w:p>
        </w:tc>
        <w:tc>
          <w:tcPr>
            <w:tcW w:w="0" w:type="dxa"/>
            <w:vAlign w:val="bottom"/>
          </w:tcPr>
          <w:p>
            <w:pPr>
              <w:spacing w:after="0"/>
              <w:rPr>
                <w:sz w:val="1"/>
                <w:szCs w:val="1"/>
                <w:color w:val="auto"/>
              </w:rPr>
            </w:pPr>
          </w:p>
        </w:tc>
      </w:tr>
      <w:tr>
        <w:trPr>
          <w:trHeight w:val="16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profit</w:t>
            </w:r>
          </w:p>
        </w:tc>
        <w:tc>
          <w:tcPr>
            <w:tcW w:w="500" w:type="dxa"/>
            <w:vAlign w:val="bottom"/>
            <w:tcBorders>
              <w:right w:val="single" w:sz="8" w:color="auto"/>
            </w:tcBorders>
            <w:shd w:val="clear" w:color="auto" w:fill="CCEEFF"/>
          </w:tcPr>
          <w:p>
            <w:pPr>
              <w:spacing w:after="0"/>
              <w:rPr>
                <w:sz w:val="13"/>
                <w:szCs w:val="13"/>
                <w:color w:val="auto"/>
              </w:rPr>
            </w:pPr>
          </w:p>
        </w:tc>
        <w:tc>
          <w:tcPr>
            <w:tcW w:w="250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410,056</w:t>
            </w:r>
          </w:p>
        </w:tc>
        <w:tc>
          <w:tcPr>
            <w:tcW w:w="1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(18,089)</w:t>
            </w:r>
          </w:p>
        </w:tc>
        <w:tc>
          <w:tcPr>
            <w:tcW w:w="206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391,967</w:t>
            </w:r>
          </w:p>
        </w:tc>
        <w:tc>
          <w:tcPr>
            <w:tcW w:w="206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436,131</w:t>
            </w: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8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Share of equity method investments net of</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i w:val="1"/>
                <w:iCs w:val="1"/>
                <w:color w:val="auto"/>
              </w:rPr>
              <w:t>18</w:t>
            </w:r>
          </w:p>
        </w:tc>
        <w:tc>
          <w:tcPr>
            <w:tcW w:w="2500" w:type="dxa"/>
            <w:vAlign w:val="bottom"/>
            <w:vMerge w:val="restart"/>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(366)</w:t>
            </w:r>
          </w:p>
        </w:tc>
        <w:tc>
          <w:tcPr>
            <w:tcW w:w="1600" w:type="dxa"/>
            <w:vAlign w:val="bottom"/>
            <w:tcBorders>
              <w:right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2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(366)</w:t>
            </w:r>
          </w:p>
        </w:tc>
        <w:tc>
          <w:tcPr>
            <w:tcW w:w="206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w:t>
            </w:r>
          </w:p>
        </w:tc>
        <w:tc>
          <w:tcPr>
            <w:tcW w:w="500" w:type="dxa"/>
            <w:vAlign w:val="bottom"/>
            <w:tcBorders>
              <w:right w:val="single" w:sz="8" w:color="auto"/>
            </w:tcBorders>
            <w:vMerge w:val="continue"/>
            <w:shd w:val="clear" w:color="auto" w:fill="CCEEFF"/>
          </w:tcPr>
          <w:p>
            <w:pPr>
              <w:spacing w:after="0"/>
              <w:rPr>
                <w:sz w:val="13"/>
                <w:szCs w:val="13"/>
                <w:color w:val="auto"/>
              </w:rPr>
            </w:pPr>
          </w:p>
        </w:tc>
        <w:tc>
          <w:tcPr>
            <w:tcW w:w="2500" w:type="dxa"/>
            <w:vAlign w:val="bottom"/>
            <w:vMerge w:val="continue"/>
            <w:shd w:val="clear" w:color="auto" w:fill="CCEEFF"/>
          </w:tcPr>
          <w:p>
            <w:pPr>
              <w:spacing w:after="0"/>
              <w:rPr>
                <w:sz w:val="13"/>
                <w:szCs w:val="13"/>
                <w:color w:val="auto"/>
              </w:rPr>
            </w:pPr>
          </w:p>
        </w:tc>
        <w:tc>
          <w:tcPr>
            <w:tcW w:w="1600" w:type="dxa"/>
            <w:vAlign w:val="bottom"/>
            <w:tcBorders>
              <w:right w:val="single" w:sz="8" w:color="auto"/>
            </w:tcBorders>
            <w:vMerge w:val="continue"/>
            <w:shd w:val="clear" w:color="auto" w:fill="CCEEFF"/>
          </w:tcPr>
          <w:p>
            <w:pPr>
              <w:spacing w:after="0"/>
              <w:rPr>
                <w:sz w:val="13"/>
                <w:szCs w:val="13"/>
                <w:color w:val="auto"/>
              </w:rPr>
            </w:pPr>
          </w:p>
        </w:tc>
        <w:tc>
          <w:tcPr>
            <w:tcW w:w="2060" w:type="dxa"/>
            <w:vAlign w:val="bottom"/>
            <w:tcBorders>
              <w:right w:val="single" w:sz="8" w:color="auto"/>
            </w:tcBorders>
            <w:vMerge w:val="continue"/>
            <w:shd w:val="clear" w:color="auto" w:fill="CCEEFF"/>
          </w:tcPr>
          <w:p>
            <w:pPr>
              <w:spacing w:after="0"/>
              <w:rPr>
                <w:sz w:val="13"/>
                <w:szCs w:val="13"/>
                <w:color w:val="auto"/>
              </w:rPr>
            </w:pPr>
          </w:p>
        </w:tc>
        <w:tc>
          <w:tcPr>
            <w:tcW w:w="206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rPr>
                <w:sz w:val="20"/>
                <w:szCs w:val="20"/>
                <w:color w:val="auto"/>
              </w:rPr>
            </w:pPr>
            <w:r>
              <w:rPr>
                <w:rFonts w:ascii="Arial" w:cs="Arial" w:eastAsia="Arial" w:hAnsi="Arial"/>
                <w:sz w:val="13"/>
                <w:szCs w:val="13"/>
                <w:color w:val="auto"/>
              </w:rPr>
              <w:t>Financing income</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i w:val="1"/>
                <w:iCs w:val="1"/>
                <w:color w:val="auto"/>
              </w:rPr>
              <w:t>4</w:t>
            </w:r>
          </w:p>
        </w:tc>
        <w:tc>
          <w:tcPr>
            <w:tcW w:w="2500" w:type="dxa"/>
            <w:vAlign w:val="bottom"/>
          </w:tcPr>
          <w:p>
            <w:pPr>
              <w:jc w:val="right"/>
              <w:ind w:right="456"/>
              <w:spacing w:after="0"/>
              <w:rPr>
                <w:sz w:val="20"/>
                <w:szCs w:val="20"/>
                <w:color w:val="auto"/>
              </w:rPr>
            </w:pPr>
            <w:r>
              <w:rPr>
                <w:rFonts w:ascii="Arial" w:cs="Arial" w:eastAsia="Arial" w:hAnsi="Arial"/>
                <w:sz w:val="13"/>
                <w:szCs w:val="13"/>
                <w:b w:val="1"/>
                <w:bCs w:val="1"/>
                <w:color w:val="auto"/>
              </w:rPr>
              <w:t>2,724</w:t>
            </w:r>
          </w:p>
        </w:tc>
        <w:tc>
          <w:tcPr>
            <w:tcW w:w="160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206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2,724</w:t>
            </w:r>
          </w:p>
        </w:tc>
        <w:tc>
          <w:tcPr>
            <w:tcW w:w="206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6,859</w:t>
            </w:r>
          </w:p>
        </w:tc>
        <w:tc>
          <w:tcPr>
            <w:tcW w:w="0" w:type="dxa"/>
            <w:vAlign w:val="bottom"/>
          </w:tcPr>
          <w:p>
            <w:pPr>
              <w:spacing w:after="0"/>
              <w:rPr>
                <w:sz w:val="1"/>
                <w:szCs w:val="1"/>
                <w:color w:val="auto"/>
              </w:rPr>
            </w:pPr>
          </w:p>
        </w:tc>
      </w:tr>
      <w:tr>
        <w:trPr>
          <w:trHeight w:val="170"/>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Financing expense</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5</w:t>
            </w:r>
          </w:p>
        </w:tc>
        <w:tc>
          <w:tcPr>
            <w:tcW w:w="25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(12,147)</w:t>
            </w:r>
          </w:p>
        </w:tc>
        <w:tc>
          <w:tcPr>
            <w:tcW w:w="160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2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(12,147)</w:t>
            </w:r>
          </w:p>
        </w:tc>
        <w:tc>
          <w:tcPr>
            <w:tcW w:w="2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(24,625)</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before taxation</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3</w:t>
            </w:r>
          </w:p>
        </w:tc>
        <w:tc>
          <w:tcPr>
            <w:tcW w:w="250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400,267</w:t>
            </w:r>
          </w:p>
        </w:tc>
        <w:tc>
          <w:tcPr>
            <w:tcW w:w="1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(18,089)</w:t>
            </w:r>
          </w:p>
        </w:tc>
        <w:tc>
          <w:tcPr>
            <w:tcW w:w="206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382,178</w:t>
            </w:r>
          </w:p>
        </w:tc>
        <w:tc>
          <w:tcPr>
            <w:tcW w:w="206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418,365</w:t>
            </w:r>
          </w:p>
        </w:tc>
        <w:tc>
          <w:tcPr>
            <w:tcW w:w="0" w:type="dxa"/>
            <w:vAlign w:val="bottom"/>
          </w:tcPr>
          <w:p>
            <w:pPr>
              <w:spacing w:after="0"/>
              <w:rPr>
                <w:sz w:val="1"/>
                <w:szCs w:val="1"/>
                <w:color w:val="auto"/>
              </w:rPr>
            </w:pPr>
          </w:p>
        </w:tc>
      </w:tr>
      <w:tr>
        <w:trPr>
          <w:trHeight w:val="16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w:t>
            </w: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i w:val="1"/>
                <w:iCs w:val="1"/>
                <w:color w:val="auto"/>
              </w:rPr>
              <w:t>6</w:t>
            </w:r>
          </w:p>
        </w:tc>
        <w:tc>
          <w:tcPr>
            <w:tcW w:w="25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(53,014)</w:t>
            </w:r>
          </w:p>
        </w:tc>
        <w:tc>
          <w:tcPr>
            <w:tcW w:w="16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2,261</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(50,753)</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(57,332)</w:t>
            </w: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2500" w:type="dxa"/>
            <w:vAlign w:val="bottom"/>
            <w:shd w:val="clear" w:color="auto" w:fill="CCEEFF"/>
          </w:tcPr>
          <w:p>
            <w:pPr>
              <w:spacing w:after="0"/>
              <w:rPr>
                <w:sz w:val="9"/>
                <w:szCs w:val="9"/>
                <w:color w:val="auto"/>
              </w:rPr>
            </w:pPr>
          </w:p>
        </w:tc>
        <w:tc>
          <w:tcPr>
            <w:tcW w:w="1600" w:type="dxa"/>
            <w:vAlign w:val="bottom"/>
            <w:tcBorders>
              <w:right w:val="single" w:sz="8" w:color="auto"/>
            </w:tcBorders>
            <w:shd w:val="clear" w:color="auto" w:fill="CCEEFF"/>
          </w:tcPr>
          <w:p>
            <w:pPr>
              <w:spacing w:after="0"/>
              <w:rPr>
                <w:sz w:val="9"/>
                <w:szCs w:val="9"/>
                <w:color w:val="auto"/>
              </w:rPr>
            </w:pPr>
          </w:p>
        </w:tc>
        <w:tc>
          <w:tcPr>
            <w:tcW w:w="2060" w:type="dxa"/>
            <w:vAlign w:val="bottom"/>
            <w:tcBorders>
              <w:right w:val="single" w:sz="8" w:color="auto"/>
            </w:tcBorders>
            <w:shd w:val="clear" w:color="auto" w:fill="CCEEFF"/>
          </w:tcPr>
          <w:p>
            <w:pPr>
              <w:spacing w:after="0"/>
              <w:rPr>
                <w:sz w:val="9"/>
                <w:szCs w:val="9"/>
                <w:color w:val="auto"/>
              </w:rPr>
            </w:pPr>
          </w:p>
        </w:tc>
        <w:tc>
          <w:tcPr>
            <w:tcW w:w="206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50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347,253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(15,828)</w:t>
            </w:r>
          </w:p>
        </w:tc>
        <w:tc>
          <w:tcPr>
            <w:tcW w:w="206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331,425</w:t>
            </w:r>
          </w:p>
        </w:tc>
        <w:tc>
          <w:tcPr>
            <w:tcW w:w="206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361,033</w:t>
            </w:r>
          </w:p>
        </w:tc>
        <w:tc>
          <w:tcPr>
            <w:tcW w:w="0" w:type="dxa"/>
            <w:vAlign w:val="bottom"/>
          </w:tcPr>
          <w:p>
            <w:pPr>
              <w:spacing w:after="0"/>
              <w:rPr>
                <w:sz w:val="1"/>
                <w:szCs w:val="1"/>
                <w:color w:val="auto"/>
              </w:rPr>
            </w:pPr>
          </w:p>
        </w:tc>
      </w:tr>
      <w:tr>
        <w:trPr>
          <w:trHeight w:val="117"/>
        </w:trPr>
        <w:tc>
          <w:tcPr>
            <w:tcW w:w="25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600" w:type="dxa"/>
            <w:vAlign w:val="bottom"/>
            <w:tcBorders>
              <w:right w:val="single" w:sz="8" w:color="auto"/>
            </w:tcBorders>
            <w:shd w:val="clear" w:color="auto" w:fill="CCEEFF"/>
          </w:tcPr>
          <w:p>
            <w:pPr>
              <w:spacing w:after="0"/>
              <w:rPr>
                <w:sz w:val="10"/>
                <w:szCs w:val="10"/>
                <w:color w:val="auto"/>
              </w:rPr>
            </w:pPr>
          </w:p>
        </w:tc>
        <w:tc>
          <w:tcPr>
            <w:tcW w:w="2060" w:type="dxa"/>
            <w:vAlign w:val="bottom"/>
            <w:tcBorders>
              <w:right w:val="single" w:sz="8" w:color="auto"/>
            </w:tcBorders>
            <w:shd w:val="clear" w:color="auto" w:fill="CCEEFF"/>
          </w:tcPr>
          <w:p>
            <w:pPr>
              <w:spacing w:after="0"/>
              <w:rPr>
                <w:sz w:val="10"/>
                <w:szCs w:val="10"/>
                <w:color w:val="auto"/>
              </w:rPr>
            </w:pPr>
          </w:p>
        </w:tc>
        <w:tc>
          <w:tcPr>
            <w:tcW w:w="206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580" w:type="dxa"/>
            <w:vAlign w:val="bottom"/>
          </w:tcPr>
          <w:p>
            <w:pPr>
              <w:ind w:left="20"/>
              <w:spacing w:after="0" w:line="128" w:lineRule="exact"/>
              <w:rPr>
                <w:sz w:val="20"/>
                <w:szCs w:val="20"/>
                <w:color w:val="auto"/>
              </w:rPr>
            </w:pPr>
            <w:r>
              <w:rPr>
                <w:rFonts w:ascii="Arial" w:cs="Arial" w:eastAsia="Arial" w:hAnsi="Arial"/>
                <w:sz w:val="13"/>
                <w:szCs w:val="13"/>
                <w:b w:val="1"/>
                <w:bCs w:val="1"/>
                <w:color w:val="auto"/>
              </w:rPr>
              <w:t>Profit for the financial year is</w:t>
            </w:r>
          </w:p>
        </w:tc>
        <w:tc>
          <w:tcPr>
            <w:tcW w:w="500" w:type="dxa"/>
            <w:vAlign w:val="bottom"/>
            <w:tcBorders>
              <w:right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attributable to:</w:t>
            </w:r>
          </w:p>
        </w:tc>
        <w:tc>
          <w:tcPr>
            <w:tcW w:w="500" w:type="dxa"/>
            <w:vAlign w:val="bottom"/>
            <w:tcBorders>
              <w:right w:val="single" w:sz="8" w:color="auto"/>
            </w:tcBorders>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600" w:type="dxa"/>
            <w:vAlign w:val="bottom"/>
            <w:tcBorders>
              <w:right w:val="single" w:sz="8" w:color="auto"/>
            </w:tcBorders>
            <w:shd w:val="clear" w:color="auto" w:fill="CCEEFF"/>
          </w:tcPr>
          <w:p>
            <w:pPr>
              <w:spacing w:after="0"/>
              <w:rPr>
                <w:sz w:val="11"/>
                <w:szCs w:val="11"/>
                <w:color w:val="auto"/>
              </w:rPr>
            </w:pPr>
          </w:p>
        </w:tc>
        <w:tc>
          <w:tcPr>
            <w:tcW w:w="2060" w:type="dxa"/>
            <w:vAlign w:val="bottom"/>
            <w:tcBorders>
              <w:right w:val="single" w:sz="8" w:color="auto"/>
            </w:tcBorders>
            <w:shd w:val="clear" w:color="auto" w:fill="CCEEFF"/>
          </w:tcPr>
          <w:p>
            <w:pPr>
              <w:spacing w:after="0"/>
              <w:rPr>
                <w:sz w:val="11"/>
                <w:szCs w:val="11"/>
                <w:color w:val="auto"/>
              </w:rPr>
            </w:pPr>
          </w:p>
        </w:tc>
        <w:tc>
          <w:tcPr>
            <w:tcW w:w="206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580" w:type="dxa"/>
            <w:vAlign w:val="bottom"/>
          </w:tcPr>
          <w:p>
            <w:pPr>
              <w:ind w:left="20"/>
              <w:spacing w:after="0"/>
              <w:rPr>
                <w:sz w:val="20"/>
                <w:szCs w:val="20"/>
                <w:color w:val="auto"/>
              </w:rPr>
            </w:pPr>
            <w:r>
              <w:rPr>
                <w:rFonts w:ascii="Arial" w:cs="Arial" w:eastAsia="Arial" w:hAnsi="Arial"/>
                <w:sz w:val="13"/>
                <w:szCs w:val="13"/>
                <w:color w:val="auto"/>
              </w:rPr>
              <w:t>Owners of the Company</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i w:val="1"/>
                <w:iCs w:val="1"/>
                <w:color w:val="auto"/>
              </w:rPr>
              <w:t>25</w:t>
            </w:r>
          </w:p>
        </w:tc>
        <w:tc>
          <w:tcPr>
            <w:tcW w:w="2500" w:type="dxa"/>
            <w:vAlign w:val="bottom"/>
          </w:tcPr>
          <w:p>
            <w:pPr>
              <w:jc w:val="right"/>
              <w:ind w:right="456"/>
              <w:spacing w:after="0"/>
              <w:rPr>
                <w:sz w:val="20"/>
                <w:szCs w:val="20"/>
                <w:color w:val="auto"/>
              </w:rPr>
            </w:pPr>
            <w:r>
              <w:rPr>
                <w:rFonts w:ascii="Arial" w:cs="Arial" w:eastAsia="Arial" w:hAnsi="Arial"/>
                <w:sz w:val="13"/>
                <w:szCs w:val="13"/>
                <w:b w:val="1"/>
                <w:bCs w:val="1"/>
                <w:color w:val="auto"/>
              </w:rPr>
              <w:t>346,620</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(15,828)</w:t>
            </w:r>
          </w:p>
        </w:tc>
        <w:tc>
          <w:tcPr>
            <w:tcW w:w="206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330,792</w:t>
            </w:r>
          </w:p>
        </w:tc>
        <w:tc>
          <w:tcPr>
            <w:tcW w:w="206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359,163</w:t>
            </w:r>
          </w:p>
        </w:tc>
        <w:tc>
          <w:tcPr>
            <w:tcW w:w="0" w:type="dxa"/>
            <w:vAlign w:val="bottom"/>
          </w:tcPr>
          <w:p>
            <w:pPr>
              <w:spacing w:after="0"/>
              <w:rPr>
                <w:sz w:val="1"/>
                <w:szCs w:val="1"/>
                <w:color w:val="auto"/>
              </w:rPr>
            </w:pPr>
          </w:p>
        </w:tc>
      </w:tr>
      <w:tr>
        <w:trPr>
          <w:trHeight w:val="172"/>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50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25</w:t>
            </w:r>
          </w:p>
        </w:tc>
        <w:tc>
          <w:tcPr>
            <w:tcW w:w="25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633</w:t>
            </w:r>
          </w:p>
        </w:tc>
        <w:tc>
          <w:tcPr>
            <w:tcW w:w="160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20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633</w:t>
            </w:r>
          </w:p>
        </w:tc>
        <w:tc>
          <w:tcPr>
            <w:tcW w:w="20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1,870</w:t>
            </w:r>
          </w:p>
        </w:tc>
        <w:tc>
          <w:tcPr>
            <w:tcW w:w="0" w:type="dxa"/>
            <w:vAlign w:val="bottom"/>
          </w:tcPr>
          <w:p>
            <w:pPr>
              <w:spacing w:after="0"/>
              <w:rPr>
                <w:sz w:val="1"/>
                <w:szCs w:val="1"/>
                <w:color w:val="auto"/>
              </w:rPr>
            </w:pPr>
          </w:p>
        </w:tc>
      </w:tr>
      <w:tr>
        <w:trPr>
          <w:trHeight w:val="118"/>
        </w:trPr>
        <w:tc>
          <w:tcPr>
            <w:tcW w:w="258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Profit for the financial year attributable</w:t>
            </w:r>
          </w:p>
        </w:tc>
        <w:tc>
          <w:tcPr>
            <w:tcW w:w="500" w:type="dxa"/>
            <w:vAlign w:val="bottom"/>
            <w:tcBorders>
              <w:right w:val="single" w:sz="8" w:color="auto"/>
            </w:tcBorders>
          </w:tcPr>
          <w:p>
            <w:pPr>
              <w:spacing w:after="0"/>
              <w:rPr>
                <w:sz w:val="10"/>
                <w:szCs w:val="10"/>
                <w:color w:val="auto"/>
              </w:rPr>
            </w:pPr>
          </w:p>
        </w:tc>
        <w:tc>
          <w:tcPr>
            <w:tcW w:w="2500" w:type="dxa"/>
            <w:vAlign w:val="bottom"/>
            <w:vMerge w:val="restart"/>
          </w:tcPr>
          <w:p>
            <w:pPr>
              <w:jc w:val="right"/>
              <w:ind w:right="456"/>
              <w:spacing w:after="0"/>
              <w:rPr>
                <w:sz w:val="20"/>
                <w:szCs w:val="20"/>
                <w:color w:val="auto"/>
              </w:rPr>
            </w:pPr>
            <w:r>
              <w:rPr>
                <w:rFonts w:ascii="Arial" w:cs="Arial" w:eastAsia="Arial" w:hAnsi="Arial"/>
                <w:sz w:val="13"/>
                <w:szCs w:val="13"/>
                <w:b w:val="1"/>
                <w:bCs w:val="1"/>
                <w:color w:val="auto"/>
              </w:rPr>
              <w:t>347,253</w:t>
            </w:r>
          </w:p>
        </w:tc>
        <w:tc>
          <w:tcPr>
            <w:tcW w:w="1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(15,828)</w:t>
            </w:r>
          </w:p>
        </w:tc>
        <w:tc>
          <w:tcPr>
            <w:tcW w:w="206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13"/>
                <w:szCs w:val="13"/>
                <w:b w:val="1"/>
                <w:bCs w:val="1"/>
                <w:color w:val="auto"/>
              </w:rPr>
              <w:t>331,425</w:t>
            </w: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 the Group</w:t>
            </w:r>
          </w:p>
        </w:tc>
        <w:tc>
          <w:tcPr>
            <w:tcW w:w="50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2060" w:type="dxa"/>
            <w:vAlign w:val="bottom"/>
            <w:tcBorders>
              <w:bottom w:val="single" w:sz="8" w:color="auto"/>
              <w:right w:val="single" w:sz="8" w:color="auto"/>
            </w:tcBorders>
            <w:vMerge w:val="continue"/>
          </w:tcPr>
          <w:p>
            <w:pPr>
              <w:spacing w:after="0"/>
              <w:rPr>
                <w:sz w:val="14"/>
                <w:szCs w:val="14"/>
                <w:color w:val="auto"/>
              </w:rPr>
            </w:pPr>
          </w:p>
        </w:tc>
        <w:tc>
          <w:tcPr>
            <w:tcW w:w="206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361,033</w:t>
            </w:r>
          </w:p>
        </w:tc>
        <w:tc>
          <w:tcPr>
            <w:tcW w:w="0" w:type="dxa"/>
            <w:vAlign w:val="bottom"/>
          </w:tcPr>
          <w:p>
            <w:pPr>
              <w:spacing w:after="0"/>
              <w:rPr>
                <w:sz w:val="1"/>
                <w:szCs w:val="1"/>
                <w:color w:val="auto"/>
              </w:rPr>
            </w:pPr>
          </w:p>
        </w:tc>
      </w:tr>
      <w:tr>
        <w:trPr>
          <w:trHeight w:val="117"/>
        </w:trPr>
        <w:tc>
          <w:tcPr>
            <w:tcW w:w="25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600" w:type="dxa"/>
            <w:vAlign w:val="bottom"/>
            <w:tcBorders>
              <w:right w:val="single" w:sz="8" w:color="auto"/>
            </w:tcBorders>
            <w:shd w:val="clear" w:color="auto" w:fill="CCEEFF"/>
          </w:tcPr>
          <w:p>
            <w:pPr>
              <w:spacing w:after="0"/>
              <w:rPr>
                <w:sz w:val="10"/>
                <w:szCs w:val="10"/>
                <w:color w:val="auto"/>
              </w:rPr>
            </w:pPr>
          </w:p>
        </w:tc>
        <w:tc>
          <w:tcPr>
            <w:tcW w:w="2060" w:type="dxa"/>
            <w:vAlign w:val="bottom"/>
            <w:tcBorders>
              <w:right w:val="single" w:sz="8" w:color="auto"/>
            </w:tcBorders>
            <w:shd w:val="clear" w:color="auto" w:fill="CCEEFF"/>
          </w:tcPr>
          <w:p>
            <w:pPr>
              <w:spacing w:after="0"/>
              <w:rPr>
                <w:sz w:val="10"/>
                <w:szCs w:val="10"/>
                <w:color w:val="auto"/>
              </w:rPr>
            </w:pPr>
          </w:p>
        </w:tc>
        <w:tc>
          <w:tcPr>
            <w:tcW w:w="206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Earnings per ordinary share</w:t>
            </w:r>
          </w:p>
        </w:tc>
        <w:tc>
          <w:tcPr>
            <w:tcW w:w="500" w:type="dxa"/>
            <w:vAlign w:val="bottom"/>
            <w:tcBorders>
              <w:right w:val="single" w:sz="8" w:color="auto"/>
            </w:tcBorders>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7</w:t>
            </w:r>
          </w:p>
        </w:tc>
        <w:tc>
          <w:tcPr>
            <w:tcW w:w="25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right w:val="single" w:sz="8" w:color="auto"/>
            </w:tcBorders>
            <w:shd w:val="clear" w:color="auto" w:fill="CCEEFF"/>
          </w:tcPr>
          <w:p>
            <w:pPr>
              <w:spacing w:after="0"/>
              <w:rPr>
                <w:sz w:val="14"/>
                <w:szCs w:val="14"/>
                <w:color w:val="auto"/>
              </w:rPr>
            </w:pPr>
          </w:p>
        </w:tc>
        <w:tc>
          <w:tcPr>
            <w:tcW w:w="20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6.27</w:t>
            </w:r>
          </w:p>
        </w:tc>
        <w:tc>
          <w:tcPr>
            <w:tcW w:w="20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6.70</w:t>
            </w: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7</w:t>
            </w:r>
          </w:p>
        </w:tc>
        <w:tc>
          <w:tcPr>
            <w:tcW w:w="25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right w:val="single" w:sz="8" w:color="auto"/>
            </w:tcBorders>
            <w:shd w:val="clear" w:color="auto" w:fill="CCEEFF"/>
          </w:tcPr>
          <w:p>
            <w:pPr>
              <w:spacing w:after="0"/>
              <w:rPr>
                <w:sz w:val="14"/>
                <w:szCs w:val="14"/>
                <w:color w:val="auto"/>
              </w:rPr>
            </w:pPr>
          </w:p>
        </w:tc>
        <w:tc>
          <w:tcPr>
            <w:tcW w:w="20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6.22</w:t>
            </w:r>
          </w:p>
        </w:tc>
        <w:tc>
          <w:tcPr>
            <w:tcW w:w="20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6.64</w:t>
            </w:r>
          </w:p>
        </w:tc>
        <w:tc>
          <w:tcPr>
            <w:tcW w:w="0" w:type="dxa"/>
            <w:vAlign w:val="bottom"/>
          </w:tcPr>
          <w:p>
            <w:pPr>
              <w:spacing w:after="0"/>
              <w:rPr>
                <w:sz w:val="1"/>
                <w:szCs w:val="1"/>
                <w:color w:val="auto"/>
              </w:rPr>
            </w:pPr>
          </w:p>
        </w:tc>
      </w:tr>
      <w:tr>
        <w:trPr>
          <w:trHeight w:val="823"/>
        </w:trPr>
        <w:tc>
          <w:tcPr>
            <w:tcW w:w="258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58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00" w:type="dxa"/>
            <w:vAlign w:val="bottom"/>
          </w:tcPr>
          <w:p>
            <w:pPr>
              <w:spacing w:after="0"/>
              <w:rPr>
                <w:sz w:val="24"/>
                <w:szCs w:val="24"/>
                <w:color w:val="auto"/>
              </w:rPr>
            </w:pPr>
          </w:p>
        </w:tc>
        <w:tc>
          <w:tcPr>
            <w:tcW w:w="2500" w:type="dxa"/>
            <w:vAlign w:val="bottom"/>
          </w:tcPr>
          <w:p>
            <w:pPr>
              <w:ind w:left="340"/>
              <w:spacing w:after="0"/>
              <w:rPr>
                <w:sz w:val="20"/>
                <w:szCs w:val="20"/>
                <w:color w:val="auto"/>
              </w:rPr>
            </w:pPr>
            <w:r>
              <w:rPr>
                <w:rFonts w:ascii="Arial" w:cs="Arial" w:eastAsia="Arial" w:hAnsi="Arial"/>
                <w:sz w:val="13"/>
                <w:szCs w:val="13"/>
                <w:color w:val="auto"/>
              </w:rPr>
              <w:t>Rónán Murphy</w:t>
            </w:r>
          </w:p>
        </w:tc>
        <w:tc>
          <w:tcPr>
            <w:tcW w:w="1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00" w:type="dxa"/>
            <w:vAlign w:val="bottom"/>
          </w:tcPr>
          <w:p>
            <w:pPr>
              <w:spacing w:after="0"/>
              <w:rPr>
                <w:sz w:val="16"/>
                <w:szCs w:val="16"/>
                <w:color w:val="auto"/>
              </w:rPr>
            </w:pPr>
          </w:p>
        </w:tc>
        <w:tc>
          <w:tcPr>
            <w:tcW w:w="2500" w:type="dxa"/>
            <w:vAlign w:val="bottom"/>
          </w:tcPr>
          <w:p>
            <w:pPr>
              <w:ind w:left="340"/>
              <w:spacing w:after="0"/>
              <w:rPr>
                <w:sz w:val="20"/>
                <w:szCs w:val="20"/>
                <w:color w:val="auto"/>
              </w:rPr>
            </w:pPr>
            <w:r>
              <w:rPr>
                <w:rFonts w:ascii="Arial" w:cs="Arial" w:eastAsia="Arial" w:hAnsi="Arial"/>
                <w:sz w:val="13"/>
                <w:szCs w:val="13"/>
                <w:i w:val="1"/>
                <w:iCs w:val="1"/>
                <w:color w:val="auto"/>
              </w:rPr>
              <w:t>Director</w:t>
            </w:r>
          </w:p>
        </w:tc>
        <w:tc>
          <w:tcPr>
            <w:tcW w:w="1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300"/>
          </w:cols>
          <w:pgMar w:left="300" w:top="716" w:right="29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Consolidated Statement of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rPr>
                <w:sz w:val="14"/>
                <w:szCs w:val="14"/>
                <w:color w:val="auto"/>
              </w:rPr>
            </w:pPr>
          </w:p>
        </w:tc>
        <w:tc>
          <w:tcPr>
            <w:tcW w:w="4260" w:type="dxa"/>
            <w:vAlign w:val="bottom"/>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auto"/>
            </w:tcBorders>
          </w:tcPr>
          <w:p>
            <w:pPr>
              <w:spacing w:after="0"/>
              <w:rPr>
                <w:sz w:val="13"/>
                <w:szCs w:val="13"/>
                <w:color w:val="auto"/>
              </w:rPr>
            </w:pPr>
          </w:p>
        </w:tc>
        <w:tc>
          <w:tcPr>
            <w:tcW w:w="4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61"/>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 (Loss)</w:t>
            </w:r>
          </w:p>
        </w:tc>
        <w:tc>
          <w:tcPr>
            <w:tcW w:w="4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Items that will not be reclassified to profit or loss:</w:t>
            </w:r>
          </w:p>
        </w:tc>
        <w:tc>
          <w:tcPr>
            <w:tcW w:w="4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Re-measurement of defined benefit liability</w:t>
            </w:r>
          </w:p>
        </w:tc>
        <w:tc>
          <w:tcPr>
            <w:tcW w:w="528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i w:val="1"/>
                <w:iCs w:val="1"/>
                <w:color w:val="auto"/>
              </w:rPr>
              <w:t>10</w:t>
            </w: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(3,730)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(2,407)</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Total items that will not be reclassified to profit or loss</w:t>
            </w:r>
          </w:p>
        </w:tc>
        <w:tc>
          <w:tcPr>
            <w:tcW w:w="4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(3,730)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(2,407)</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40" w:type="dxa"/>
            <w:vAlign w:val="bottom"/>
            <w:gridSpan w:val="3"/>
          </w:tcPr>
          <w:p>
            <w:pPr>
              <w:ind w:left="20"/>
              <w:spacing w:after="0"/>
              <w:rPr>
                <w:sz w:val="20"/>
                <w:szCs w:val="20"/>
                <w:color w:val="auto"/>
              </w:rPr>
            </w:pPr>
            <w:r>
              <w:rPr>
                <w:rFonts w:ascii="Arial" w:cs="Arial" w:eastAsia="Arial" w:hAnsi="Arial"/>
                <w:sz w:val="13"/>
                <w:szCs w:val="13"/>
                <w:b w:val="1"/>
                <w:bCs w:val="1"/>
                <w:color w:val="auto"/>
              </w:rPr>
              <w:t>Items that are or may be reclassified subsequently to profit or loss, net of tax:</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differences</w:t>
            </w:r>
          </w:p>
        </w:tc>
        <w:tc>
          <w:tcPr>
            <w:tcW w:w="5280" w:type="dxa"/>
            <w:vAlign w:val="bottom"/>
            <w:gridSpan w:val="2"/>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48,129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Currency impact on long-term funding</w:t>
            </w:r>
          </w:p>
        </w:tc>
        <w:tc>
          <w:tcPr>
            <w:tcW w:w="5280" w:type="dxa"/>
            <w:vAlign w:val="bottom"/>
            <w:gridSpan w:val="2"/>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(1,603)</w:t>
            </w:r>
          </w:p>
        </w:tc>
        <w:tc>
          <w:tcPr>
            <w:tcW w:w="1140" w:type="dxa"/>
            <w:vAlign w:val="bottom"/>
          </w:tcPr>
          <w:p>
            <w:pPr>
              <w:jc w:val="right"/>
              <w:spacing w:after="0"/>
              <w:rPr>
                <w:sz w:val="20"/>
                <w:szCs w:val="20"/>
                <w:color w:val="auto"/>
              </w:rPr>
            </w:pPr>
            <w:r>
              <w:rPr>
                <w:rFonts w:ascii="Arial" w:cs="Arial" w:eastAsia="Arial" w:hAnsi="Arial"/>
                <w:sz w:val="13"/>
                <w:szCs w:val="13"/>
                <w:color w:val="auto"/>
              </w:rPr>
              <w:t>(2,710)</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Unrealised capital (loss)/gain on investments</w:t>
            </w:r>
          </w:p>
        </w:tc>
        <w:tc>
          <w:tcPr>
            <w:tcW w:w="5280" w:type="dxa"/>
            <w:vAlign w:val="bottom"/>
            <w:gridSpan w:val="2"/>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(231)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Amortisation of interest rate hedge</w:t>
            </w:r>
          </w:p>
        </w:tc>
        <w:tc>
          <w:tcPr>
            <w:tcW w:w="5280" w:type="dxa"/>
            <w:vAlign w:val="bottom"/>
            <w:gridSpan w:val="2"/>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(910)</w:t>
            </w:r>
          </w:p>
        </w:tc>
        <w:tc>
          <w:tcPr>
            <w:tcW w:w="1140" w:type="dxa"/>
            <w:vAlign w:val="bottom"/>
          </w:tcPr>
          <w:p>
            <w:pPr>
              <w:jc w:val="right"/>
              <w:spacing w:after="0"/>
              <w:rPr>
                <w:sz w:val="20"/>
                <w:szCs w:val="20"/>
                <w:color w:val="auto"/>
              </w:rPr>
            </w:pPr>
            <w:r>
              <w:rPr>
                <w:rFonts w:ascii="Arial" w:cs="Arial" w:eastAsia="Arial" w:hAnsi="Arial"/>
                <w:sz w:val="13"/>
                <w:szCs w:val="13"/>
                <w:color w:val="auto"/>
              </w:rPr>
              <w:t>(923)</w:t>
            </w: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Loss on interest rate hedge</w:t>
            </w:r>
          </w:p>
        </w:tc>
        <w:tc>
          <w:tcPr>
            <w:tcW w:w="5280" w:type="dxa"/>
            <w:vAlign w:val="bottom"/>
            <w:tcBorders>
              <w:bottom w:val="single" w:sz="8" w:color="auto"/>
            </w:tcBorders>
            <w:gridSpan w:val="2"/>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(905)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Total items that are or may be reclassified to profit or loss</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44,480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(4,265)</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for the year, net of tax</w:t>
            </w:r>
          </w:p>
        </w:tc>
        <w:tc>
          <w:tcPr>
            <w:tcW w:w="4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40,750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(6,672)</w:t>
            </w:r>
          </w:p>
        </w:tc>
        <w:tc>
          <w:tcPr>
            <w:tcW w:w="0" w:type="dxa"/>
            <w:vAlign w:val="bottom"/>
          </w:tcPr>
          <w:p>
            <w:pPr>
              <w:spacing w:after="0"/>
              <w:rPr>
                <w:sz w:val="1"/>
                <w:szCs w:val="1"/>
                <w:color w:val="auto"/>
              </w:rPr>
            </w:pPr>
          </w:p>
        </w:tc>
      </w:tr>
      <w:tr>
        <w:trPr>
          <w:trHeight w:val="16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Profit for the financial year</w:t>
            </w:r>
          </w:p>
        </w:tc>
        <w:tc>
          <w:tcPr>
            <w:tcW w:w="4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331,425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361,033</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financial year</w:t>
            </w:r>
          </w:p>
        </w:tc>
        <w:tc>
          <w:tcPr>
            <w:tcW w:w="4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372,175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354,361</w:t>
            </w:r>
          </w:p>
        </w:tc>
        <w:tc>
          <w:tcPr>
            <w:tcW w:w="0" w:type="dxa"/>
            <w:vAlign w:val="bottom"/>
          </w:tcPr>
          <w:p>
            <w:pPr>
              <w:spacing w:after="0"/>
              <w:rPr>
                <w:sz w:val="1"/>
                <w:szCs w:val="1"/>
                <w:color w:val="auto"/>
              </w:rPr>
            </w:pPr>
          </w:p>
        </w:tc>
      </w:tr>
      <w:tr>
        <w:trPr>
          <w:trHeight w:val="191"/>
        </w:trPr>
        <w:tc>
          <w:tcPr>
            <w:tcW w:w="3360" w:type="dxa"/>
            <w:vAlign w:val="bottom"/>
            <w:shd w:val="clear" w:color="auto" w:fill="CCEEFF"/>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Attributable to:</w:t>
            </w:r>
          </w:p>
        </w:tc>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holders of the Company</w:t>
            </w:r>
          </w:p>
        </w:tc>
        <w:tc>
          <w:tcPr>
            <w:tcW w:w="4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371,542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352,491</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4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633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1,870</w:t>
            </w:r>
          </w:p>
        </w:tc>
        <w:tc>
          <w:tcPr>
            <w:tcW w:w="0" w:type="dxa"/>
            <w:vAlign w:val="bottom"/>
          </w:tcPr>
          <w:p>
            <w:pPr>
              <w:spacing w:after="0"/>
              <w:rPr>
                <w:sz w:val="1"/>
                <w:szCs w:val="1"/>
                <w:color w:val="auto"/>
              </w:rPr>
            </w:pPr>
          </w:p>
        </w:tc>
      </w:tr>
      <w:tr>
        <w:trPr>
          <w:trHeight w:val="191"/>
        </w:trPr>
        <w:tc>
          <w:tcPr>
            <w:tcW w:w="3360" w:type="dxa"/>
            <w:vAlign w:val="bottom"/>
            <w:shd w:val="clear" w:color="auto" w:fill="CCEEFF"/>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comprehensive income for the financial year</w:t>
            </w:r>
          </w:p>
        </w:tc>
        <w:tc>
          <w:tcPr>
            <w:tcW w:w="4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372,175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354,361</w:t>
            </w:r>
          </w:p>
        </w:tc>
        <w:tc>
          <w:tcPr>
            <w:tcW w:w="0" w:type="dxa"/>
            <w:vAlign w:val="bottom"/>
          </w:tcPr>
          <w:p>
            <w:pPr>
              <w:spacing w:after="0"/>
              <w:rPr>
                <w:sz w:val="1"/>
                <w:szCs w:val="1"/>
                <w:color w:val="auto"/>
              </w:rPr>
            </w:pPr>
          </w:p>
        </w:tc>
      </w:tr>
      <w:tr>
        <w:trPr>
          <w:trHeight w:val="409"/>
        </w:trPr>
        <w:tc>
          <w:tcPr>
            <w:tcW w:w="336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4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3"/>
        </w:trPr>
        <w:tc>
          <w:tcPr>
            <w:tcW w:w="336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280" w:type="dxa"/>
            <w:vAlign w:val="bottom"/>
            <w:gridSpan w:val="2"/>
          </w:tcPr>
          <w:p>
            <w:pPr>
              <w:ind w:left="6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280" w:type="dxa"/>
            <w:vAlign w:val="bottom"/>
            <w:gridSpan w:val="2"/>
          </w:tcPr>
          <w:p>
            <w:pPr>
              <w:ind w:left="6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716"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Consolidated Statement of Financial Position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 at 31 December 2020</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72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02"/>
        </w:trPr>
        <w:tc>
          <w:tcPr>
            <w:tcW w:w="3360" w:type="dxa"/>
            <w:vAlign w:val="bottom"/>
            <w:shd w:val="clear" w:color="auto" w:fill="CCEEFF"/>
          </w:tcPr>
          <w:p>
            <w:pPr>
              <w:spacing w:after="0"/>
              <w:rPr>
                <w:sz w:val="8"/>
                <w:szCs w:val="8"/>
                <w:color w:val="auto"/>
              </w:rPr>
            </w:pPr>
          </w:p>
        </w:tc>
        <w:tc>
          <w:tcPr>
            <w:tcW w:w="3560" w:type="dxa"/>
            <w:vAlign w:val="bottom"/>
            <w:shd w:val="clear" w:color="auto" w:fill="CCEEFF"/>
          </w:tcPr>
          <w:p>
            <w:pPr>
              <w:spacing w:after="0"/>
              <w:rPr>
                <w:sz w:val="8"/>
                <w:szCs w:val="8"/>
                <w:color w:val="auto"/>
              </w:rPr>
            </w:pPr>
          </w:p>
        </w:tc>
        <w:tc>
          <w:tcPr>
            <w:tcW w:w="1720" w:type="dxa"/>
            <w:vAlign w:val="bottom"/>
            <w:vMerge w:val="continue"/>
            <w:shd w:val="clear" w:color="auto" w:fill="CCEEFF"/>
          </w:tcPr>
          <w:p>
            <w:pPr>
              <w:spacing w:after="0"/>
              <w:rPr>
                <w:sz w:val="8"/>
                <w:szCs w:val="8"/>
                <w:color w:val="auto"/>
              </w:rPr>
            </w:pPr>
          </w:p>
        </w:tc>
        <w:tc>
          <w:tcPr>
            <w:tcW w:w="150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68"/>
        </w:trPr>
        <w:tc>
          <w:tcPr>
            <w:tcW w:w="3360" w:type="dxa"/>
            <w:vAlign w:val="bottom"/>
            <w:tcBorders>
              <w:bottom w:val="single" w:sz="8" w:color="auto"/>
            </w:tcBorders>
            <w:shd w:val="clear" w:color="auto" w:fill="CCEEFF"/>
          </w:tcPr>
          <w:p>
            <w:pPr>
              <w:spacing w:after="0"/>
              <w:rPr>
                <w:sz w:val="5"/>
                <w:szCs w:val="5"/>
                <w:color w:val="auto"/>
              </w:rPr>
            </w:pPr>
          </w:p>
        </w:tc>
        <w:tc>
          <w:tcPr>
            <w:tcW w:w="3560" w:type="dxa"/>
            <w:vAlign w:val="bottom"/>
            <w:tcBorders>
              <w:bottom w:val="single" w:sz="8" w:color="auto"/>
            </w:tcBorders>
            <w:shd w:val="clear" w:color="auto" w:fill="CCEEFF"/>
          </w:tcPr>
          <w:p>
            <w:pPr>
              <w:spacing w:after="0"/>
              <w:rPr>
                <w:sz w:val="5"/>
                <w:szCs w:val="5"/>
                <w:color w:val="auto"/>
              </w:rPr>
            </w:pPr>
          </w:p>
        </w:tc>
        <w:tc>
          <w:tcPr>
            <w:tcW w:w="172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3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assets</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12</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109,830</w:t>
            </w:r>
          </w:p>
        </w:tc>
        <w:tc>
          <w:tcPr>
            <w:tcW w:w="1140" w:type="dxa"/>
            <w:vAlign w:val="bottom"/>
          </w:tcPr>
          <w:p>
            <w:pPr>
              <w:jc w:val="right"/>
              <w:spacing w:after="0"/>
              <w:rPr>
                <w:sz w:val="20"/>
                <w:szCs w:val="20"/>
                <w:color w:val="auto"/>
              </w:rPr>
            </w:pPr>
            <w:r>
              <w:rPr>
                <w:rFonts w:ascii="Arial" w:cs="Arial" w:eastAsia="Arial" w:hAnsi="Arial"/>
                <w:sz w:val="13"/>
                <w:szCs w:val="13"/>
                <w:color w:val="auto"/>
              </w:rPr>
              <w:t>104,257</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36"/>
              <w:spacing w:after="0"/>
              <w:rPr>
                <w:sz w:val="20"/>
                <w:szCs w:val="20"/>
                <w:color w:val="auto"/>
              </w:rPr>
            </w:pPr>
            <w:r>
              <w:rPr>
                <w:rFonts w:ascii="Arial" w:cs="Arial" w:eastAsia="Arial" w:hAnsi="Arial"/>
                <w:sz w:val="13"/>
                <w:szCs w:val="13"/>
                <w:i w:val="1"/>
                <w:iCs w:val="1"/>
                <w:color w:val="auto"/>
              </w:rPr>
              <w:t>27</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83,079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103,962</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Intangible assets – goodwill and other</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13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1,081,239</w:t>
            </w:r>
          </w:p>
        </w:tc>
        <w:tc>
          <w:tcPr>
            <w:tcW w:w="1140" w:type="dxa"/>
            <w:vAlign w:val="bottom"/>
          </w:tcPr>
          <w:p>
            <w:pPr>
              <w:jc w:val="right"/>
              <w:spacing w:after="0"/>
              <w:rPr>
                <w:sz w:val="20"/>
                <w:szCs w:val="20"/>
                <w:color w:val="auto"/>
              </w:rPr>
            </w:pPr>
            <w:r>
              <w:rPr>
                <w:rFonts w:ascii="Arial" w:cs="Arial" w:eastAsia="Arial" w:hAnsi="Arial"/>
                <w:sz w:val="13"/>
                <w:szCs w:val="13"/>
                <w:color w:val="auto"/>
              </w:rPr>
              <w:t>1,025,903</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17</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26,902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24,741</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Equity method investments</w:t>
            </w:r>
          </w:p>
        </w:tc>
        <w:tc>
          <w:tcPr>
            <w:tcW w:w="3560" w:type="dxa"/>
            <w:vAlign w:val="bottom"/>
          </w:tcPr>
          <w:p>
            <w:pPr>
              <w:spacing w:after="0"/>
              <w:rPr>
                <w:sz w:val="14"/>
                <w:szCs w:val="14"/>
                <w:color w:val="auto"/>
              </w:rPr>
            </w:pPr>
          </w:p>
        </w:tc>
        <w:tc>
          <w:tcPr>
            <w:tcW w:w="1720" w:type="dxa"/>
            <w:vAlign w:val="bottom"/>
          </w:tcPr>
          <w:p>
            <w:pPr>
              <w:jc w:val="right"/>
              <w:ind w:right="336"/>
              <w:spacing w:after="0"/>
              <w:rPr>
                <w:sz w:val="20"/>
                <w:szCs w:val="20"/>
                <w:color w:val="auto"/>
              </w:rPr>
            </w:pPr>
            <w:r>
              <w:rPr>
                <w:rFonts w:ascii="Arial" w:cs="Arial" w:eastAsia="Arial" w:hAnsi="Arial"/>
                <w:sz w:val="13"/>
                <w:szCs w:val="13"/>
                <w:i w:val="1"/>
                <w:iCs w:val="1"/>
                <w:color w:val="auto"/>
              </w:rPr>
              <w:t>18</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4,534</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assets</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36"/>
              <w:spacing w:after="0"/>
              <w:rPr>
                <w:sz w:val="20"/>
                <w:szCs w:val="20"/>
                <w:color w:val="auto"/>
              </w:rPr>
            </w:pPr>
            <w:r>
              <w:rPr>
                <w:rFonts w:ascii="Arial" w:cs="Arial" w:eastAsia="Arial" w:hAnsi="Arial"/>
                <w:sz w:val="13"/>
                <w:szCs w:val="13"/>
                <w:i w:val="1"/>
                <w:iCs w:val="1"/>
                <w:color w:val="auto"/>
              </w:rPr>
              <w:t>18</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15,765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10,053</w:t>
            </w:r>
          </w:p>
        </w:tc>
        <w:tc>
          <w:tcPr>
            <w:tcW w:w="0" w:type="dxa"/>
            <w:vAlign w:val="bottom"/>
          </w:tcPr>
          <w:p>
            <w:pPr>
              <w:spacing w:after="0"/>
              <w:rPr>
                <w:sz w:val="1"/>
                <w:szCs w:val="1"/>
                <w:color w:val="auto"/>
              </w:rPr>
            </w:pPr>
          </w:p>
        </w:tc>
      </w:tr>
      <w:tr>
        <w:trPr>
          <w:trHeight w:val="16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assets</w:t>
            </w:r>
          </w:p>
        </w:tc>
        <w:tc>
          <w:tcPr>
            <w:tcW w:w="3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i w:val="1"/>
                <w:iCs w:val="1"/>
                <w:color w:val="auto"/>
              </w:rPr>
              <w:t>6</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30,370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34,755</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356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1,351,719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1,303,671</w:t>
            </w:r>
          </w:p>
        </w:tc>
        <w:tc>
          <w:tcPr>
            <w:tcW w:w="0" w:type="dxa"/>
            <w:vAlign w:val="bottom"/>
          </w:tcPr>
          <w:p>
            <w:pPr>
              <w:spacing w:after="0"/>
              <w:rPr>
                <w:sz w:val="1"/>
                <w:szCs w:val="1"/>
                <w:color w:val="auto"/>
              </w:rPr>
            </w:pPr>
          </w:p>
        </w:tc>
      </w:tr>
      <w:tr>
        <w:trPr>
          <w:trHeight w:val="160"/>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3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Inventories</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4,806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3,181</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Accounts receivable</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16</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715,271</w:t>
            </w:r>
          </w:p>
        </w:tc>
        <w:tc>
          <w:tcPr>
            <w:tcW w:w="1140" w:type="dxa"/>
            <w:vAlign w:val="bottom"/>
          </w:tcPr>
          <w:p>
            <w:pPr>
              <w:jc w:val="right"/>
              <w:spacing w:after="0"/>
              <w:rPr>
                <w:sz w:val="20"/>
                <w:szCs w:val="20"/>
                <w:color w:val="auto"/>
              </w:rPr>
            </w:pPr>
            <w:r>
              <w:rPr>
                <w:rFonts w:ascii="Arial" w:cs="Arial" w:eastAsia="Arial" w:hAnsi="Arial"/>
                <w:sz w:val="13"/>
                <w:szCs w:val="13"/>
                <w:color w:val="auto"/>
              </w:rPr>
              <w:t>527,708</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revenue</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16</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428,684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422,769</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Other current assets</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17</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77,937</w:t>
            </w:r>
          </w:p>
        </w:tc>
        <w:tc>
          <w:tcPr>
            <w:tcW w:w="1140" w:type="dxa"/>
            <w:vAlign w:val="bottom"/>
          </w:tcPr>
          <w:p>
            <w:pPr>
              <w:jc w:val="right"/>
              <w:spacing w:after="0"/>
              <w:rPr>
                <w:sz w:val="20"/>
                <w:szCs w:val="20"/>
                <w:color w:val="auto"/>
              </w:rPr>
            </w:pPr>
            <w:r>
              <w:rPr>
                <w:rFonts w:ascii="Arial" w:cs="Arial" w:eastAsia="Arial" w:hAnsi="Arial"/>
                <w:sz w:val="13"/>
                <w:szCs w:val="13"/>
                <w:color w:val="auto"/>
              </w:rPr>
              <w:t>70,325</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taxes receivable</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45,348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40,989</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Current asset investments</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18</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1,729</w:t>
            </w:r>
          </w:p>
        </w:tc>
        <w:tc>
          <w:tcPr>
            <w:tcW w:w="1140" w:type="dxa"/>
            <w:vAlign w:val="bottom"/>
          </w:tcPr>
          <w:p>
            <w:pPr>
              <w:jc w:val="right"/>
              <w:spacing w:after="0"/>
              <w:rPr>
                <w:sz w:val="20"/>
                <w:szCs w:val="20"/>
                <w:color w:val="auto"/>
              </w:rPr>
            </w:pPr>
            <w:r>
              <w:rPr>
                <w:rFonts w:ascii="Arial" w:cs="Arial" w:eastAsia="Arial" w:hAnsi="Arial"/>
                <w:sz w:val="13"/>
                <w:szCs w:val="13"/>
                <w:color w:val="auto"/>
              </w:rPr>
              <w:t>49,628</w:t>
            </w: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5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19</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840,305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520,309</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35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2,114,080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1,634,909</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35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3,465,799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2,938,580</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3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capital</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24</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4,580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4,635</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Share premium</w:t>
            </w:r>
          </w:p>
        </w:tc>
        <w:tc>
          <w:tcPr>
            <w:tcW w:w="3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318,404</w:t>
            </w:r>
          </w:p>
        </w:tc>
        <w:tc>
          <w:tcPr>
            <w:tcW w:w="1140" w:type="dxa"/>
            <w:vAlign w:val="bottom"/>
          </w:tcPr>
          <w:p>
            <w:pPr>
              <w:jc w:val="right"/>
              <w:spacing w:after="0"/>
              <w:rPr>
                <w:sz w:val="20"/>
                <w:szCs w:val="20"/>
                <w:color w:val="auto"/>
              </w:rPr>
            </w:pPr>
            <w:r>
              <w:rPr>
                <w:rFonts w:ascii="Arial" w:cs="Arial" w:eastAsia="Arial" w:hAnsi="Arial"/>
                <w:sz w:val="13"/>
                <w:szCs w:val="13"/>
                <w:color w:val="auto"/>
              </w:rPr>
              <w:t>305,228</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undenominated capital</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1,134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Share-based payment reserve</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179,569</w:t>
            </w:r>
          </w:p>
        </w:tc>
        <w:tc>
          <w:tcPr>
            <w:tcW w:w="1140" w:type="dxa"/>
            <w:vAlign w:val="bottom"/>
          </w:tcPr>
          <w:p>
            <w:pPr>
              <w:jc w:val="right"/>
              <w:spacing w:after="0"/>
              <w:rPr>
                <w:sz w:val="20"/>
                <w:szCs w:val="20"/>
                <w:color w:val="auto"/>
              </w:rPr>
            </w:pPr>
            <w:r>
              <w:rPr>
                <w:rFonts w:ascii="Arial" w:cs="Arial" w:eastAsia="Arial" w:hAnsi="Arial"/>
                <w:sz w:val="13"/>
                <w:szCs w:val="13"/>
                <w:color w:val="auto"/>
              </w:rPr>
              <w:t>174,230</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reserves</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11,966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10,874</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Foreign currency translation reserve</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(24,966)</w:t>
            </w:r>
          </w:p>
        </w:tc>
        <w:tc>
          <w:tcPr>
            <w:tcW w:w="1140" w:type="dxa"/>
            <w:vAlign w:val="bottom"/>
          </w:tcPr>
          <w:p>
            <w:pPr>
              <w:jc w:val="right"/>
              <w:spacing w:after="0"/>
              <w:rPr>
                <w:sz w:val="20"/>
                <w:szCs w:val="20"/>
                <w:color w:val="auto"/>
              </w:rPr>
            </w:pPr>
            <w:r>
              <w:rPr>
                <w:rFonts w:ascii="Arial" w:cs="Arial" w:eastAsia="Arial" w:hAnsi="Arial"/>
                <w:sz w:val="13"/>
                <w:szCs w:val="13"/>
                <w:color w:val="auto"/>
              </w:rPr>
              <w:t>(71,492)</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 investments - fair value reserve</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Put option in noncontrolling interest shares</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(38,482)</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Retained earnings</w:t>
            </w:r>
          </w:p>
        </w:tc>
        <w:tc>
          <w:tcPr>
            <w:tcW w:w="35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1,389,982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1,220,871</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Total equity attributable to the owners of the Company</w:t>
            </w:r>
          </w:p>
        </w:tc>
        <w:tc>
          <w:tcPr>
            <w:tcW w:w="3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1,880,669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1,607,147</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35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34,462</w:t>
            </w:r>
          </w:p>
        </w:tc>
        <w:tc>
          <w:tcPr>
            <w:tcW w:w="0" w:type="dxa"/>
            <w:vAlign w:val="bottom"/>
          </w:tcPr>
          <w:p>
            <w:pPr>
              <w:spacing w:after="0"/>
              <w:rPr>
                <w:sz w:val="1"/>
                <w:szCs w:val="1"/>
                <w:color w:val="auto"/>
              </w:rPr>
            </w:pPr>
          </w:p>
        </w:tc>
      </w:tr>
      <w:tr>
        <w:trPr>
          <w:trHeight w:val="171"/>
        </w:trPr>
        <w:tc>
          <w:tcPr>
            <w:tcW w:w="69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equity attributable to the owners of the Company and noncontrolling interest</w:t>
            </w:r>
          </w:p>
        </w:tc>
        <w:tc>
          <w:tcPr>
            <w:tcW w:w="1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1,880,669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1,641,609</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3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bank credit lines and loan facilities</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348,477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27</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60,801</w:t>
            </w:r>
          </w:p>
        </w:tc>
        <w:tc>
          <w:tcPr>
            <w:tcW w:w="1140" w:type="dxa"/>
            <w:vAlign w:val="bottom"/>
          </w:tcPr>
          <w:p>
            <w:pPr>
              <w:jc w:val="right"/>
              <w:spacing w:after="0"/>
              <w:rPr>
                <w:sz w:val="20"/>
                <w:szCs w:val="20"/>
                <w:color w:val="auto"/>
              </w:rPr>
            </w:pPr>
            <w:r>
              <w:rPr>
                <w:rFonts w:ascii="Arial" w:cs="Arial" w:eastAsia="Arial" w:hAnsi="Arial"/>
                <w:sz w:val="13"/>
                <w:szCs w:val="13"/>
                <w:color w:val="auto"/>
              </w:rPr>
              <w:t>76,593</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20</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23,675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17,899</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Non-current provisions</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21</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3,529</w:t>
            </w:r>
          </w:p>
        </w:tc>
        <w:tc>
          <w:tcPr>
            <w:tcW w:w="1140" w:type="dxa"/>
            <w:vAlign w:val="bottom"/>
          </w:tcPr>
          <w:p>
            <w:pPr>
              <w:jc w:val="right"/>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35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6</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10,166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9,296</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35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446,648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104,193</w:t>
            </w:r>
          </w:p>
        </w:tc>
        <w:tc>
          <w:tcPr>
            <w:tcW w:w="0" w:type="dxa"/>
            <w:vAlign w:val="bottom"/>
          </w:tcPr>
          <w:p>
            <w:pPr>
              <w:spacing w:after="0"/>
              <w:rPr>
                <w:sz w:val="1"/>
                <w:szCs w:val="1"/>
                <w:color w:val="auto"/>
              </w:rPr>
            </w:pPr>
          </w:p>
        </w:tc>
      </w:tr>
      <w:tr>
        <w:trPr>
          <w:trHeight w:val="161"/>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35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3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51,113</w:t>
            </w:r>
          </w:p>
        </w:tc>
        <w:tc>
          <w:tcPr>
            <w:tcW w:w="1140" w:type="dxa"/>
            <w:vAlign w:val="bottom"/>
          </w:tcPr>
          <w:p>
            <w:pPr>
              <w:jc w:val="right"/>
              <w:spacing w:after="0"/>
              <w:rPr>
                <w:sz w:val="20"/>
                <w:szCs w:val="20"/>
                <w:color w:val="auto"/>
              </w:rPr>
            </w:pPr>
            <w:r>
              <w:rPr>
                <w:rFonts w:ascii="Arial" w:cs="Arial" w:eastAsia="Arial" w:hAnsi="Arial"/>
                <w:sz w:val="13"/>
                <w:szCs w:val="13"/>
                <w:color w:val="auto"/>
              </w:rPr>
              <w:t>24,050</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36"/>
              <w:spacing w:after="0"/>
              <w:rPr>
                <w:sz w:val="20"/>
                <w:szCs w:val="20"/>
                <w:color w:val="auto"/>
              </w:rPr>
            </w:pPr>
            <w:r>
              <w:rPr>
                <w:rFonts w:ascii="Arial" w:cs="Arial" w:eastAsia="Arial" w:hAnsi="Arial"/>
                <w:sz w:val="13"/>
                <w:szCs w:val="13"/>
                <w:i w:val="1"/>
                <w:iCs w:val="1"/>
                <w:color w:val="auto"/>
              </w:rPr>
              <w:t>16</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660,883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366,988</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Accrued and other liabilities</w:t>
            </w:r>
          </w:p>
        </w:tc>
        <w:tc>
          <w:tcPr>
            <w:tcW w:w="3560" w:type="dxa"/>
            <w:vAlign w:val="bottom"/>
          </w:tcPr>
          <w:p>
            <w:pPr>
              <w:spacing w:after="0"/>
              <w:rPr>
                <w:sz w:val="14"/>
                <w:szCs w:val="14"/>
                <w:color w:val="auto"/>
              </w:rPr>
            </w:pPr>
          </w:p>
        </w:tc>
        <w:tc>
          <w:tcPr>
            <w:tcW w:w="1720" w:type="dxa"/>
            <w:vAlign w:val="bottom"/>
          </w:tcPr>
          <w:p>
            <w:pPr>
              <w:jc w:val="right"/>
              <w:ind w:right="296"/>
              <w:spacing w:after="0"/>
              <w:rPr>
                <w:sz w:val="20"/>
                <w:szCs w:val="20"/>
                <w:color w:val="auto"/>
              </w:rPr>
            </w:pPr>
            <w:r>
              <w:rPr>
                <w:rFonts w:ascii="Arial" w:cs="Arial" w:eastAsia="Arial" w:hAnsi="Arial"/>
                <w:sz w:val="13"/>
                <w:szCs w:val="13"/>
                <w:i w:val="1"/>
                <w:iCs w:val="1"/>
                <w:color w:val="auto"/>
              </w:rPr>
              <w:t>20</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392,550</w:t>
            </w:r>
          </w:p>
        </w:tc>
        <w:tc>
          <w:tcPr>
            <w:tcW w:w="1140" w:type="dxa"/>
            <w:vAlign w:val="bottom"/>
          </w:tcPr>
          <w:p>
            <w:pPr>
              <w:jc w:val="right"/>
              <w:spacing w:after="0"/>
              <w:rPr>
                <w:sz w:val="20"/>
                <w:szCs w:val="20"/>
                <w:color w:val="auto"/>
              </w:rPr>
            </w:pPr>
            <w:r>
              <w:rPr>
                <w:rFonts w:ascii="Arial" w:cs="Arial" w:eastAsia="Arial" w:hAnsi="Arial"/>
                <w:sz w:val="13"/>
                <w:szCs w:val="13"/>
                <w:color w:val="auto"/>
              </w:rPr>
              <w:t>422,036</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Provisions</w:t>
            </w:r>
          </w:p>
        </w:tc>
        <w:tc>
          <w:tcPr>
            <w:tcW w:w="35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21</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7,219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3,732</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Current tax payable</w:t>
            </w:r>
          </w:p>
        </w:tc>
        <w:tc>
          <w:tcPr>
            <w:tcW w:w="3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26,717</w:t>
            </w:r>
          </w:p>
        </w:tc>
        <w:tc>
          <w:tcPr>
            <w:tcW w:w="1140" w:type="dxa"/>
            <w:vAlign w:val="bottom"/>
          </w:tcPr>
          <w:p>
            <w:pPr>
              <w:jc w:val="right"/>
              <w:spacing w:after="0"/>
              <w:rPr>
                <w:sz w:val="20"/>
                <w:szCs w:val="20"/>
                <w:color w:val="auto"/>
              </w:rPr>
            </w:pPr>
            <w:r>
              <w:rPr>
                <w:rFonts w:ascii="Arial" w:cs="Arial" w:eastAsia="Arial" w:hAnsi="Arial"/>
                <w:sz w:val="13"/>
                <w:szCs w:val="13"/>
                <w:color w:val="auto"/>
              </w:rPr>
              <w:t>26,332</w:t>
            </w:r>
          </w:p>
        </w:tc>
        <w:tc>
          <w:tcPr>
            <w:tcW w:w="0" w:type="dxa"/>
            <w:vAlign w:val="bottom"/>
          </w:tcPr>
          <w:p>
            <w:pPr>
              <w:spacing w:after="0"/>
              <w:rPr>
                <w:sz w:val="1"/>
                <w:szCs w:val="1"/>
                <w:color w:val="auto"/>
              </w:rPr>
            </w:pPr>
          </w:p>
        </w:tc>
      </w:tr>
      <w:tr>
        <w:trPr>
          <w:trHeight w:val="181"/>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Current bank credit lines and loan facilities</w:t>
            </w:r>
          </w:p>
        </w:tc>
        <w:tc>
          <w:tcPr>
            <w:tcW w:w="35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i w:val="1"/>
                <w:iCs w:val="1"/>
                <w:color w:val="auto"/>
              </w:rPr>
              <w:t>23</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349,640</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3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1,138,482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1,192,778</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35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1,585,130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1,296,971</w:t>
            </w:r>
          </w:p>
        </w:tc>
        <w:tc>
          <w:tcPr>
            <w:tcW w:w="0" w:type="dxa"/>
            <w:vAlign w:val="bottom"/>
          </w:tcPr>
          <w:p>
            <w:pPr>
              <w:spacing w:after="0"/>
              <w:rPr>
                <w:sz w:val="1"/>
                <w:szCs w:val="1"/>
                <w:color w:val="auto"/>
              </w:rPr>
            </w:pPr>
          </w:p>
        </w:tc>
      </w:tr>
      <w:tr>
        <w:trPr>
          <w:trHeight w:val="171"/>
        </w:trPr>
        <w:tc>
          <w:tcPr>
            <w:tcW w:w="69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equity attributable to the owners of the company and noncontrolling interest and liabilities</w:t>
            </w:r>
          </w:p>
        </w:tc>
        <w:tc>
          <w:tcPr>
            <w:tcW w:w="1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3,465,799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2,938,580</w:t>
            </w:r>
          </w:p>
        </w:tc>
        <w:tc>
          <w:tcPr>
            <w:tcW w:w="0" w:type="dxa"/>
            <w:vAlign w:val="bottom"/>
          </w:tcPr>
          <w:p>
            <w:pPr>
              <w:spacing w:after="0"/>
              <w:rPr>
                <w:sz w:val="1"/>
                <w:szCs w:val="1"/>
                <w:color w:val="auto"/>
              </w:rPr>
            </w:pPr>
          </w:p>
        </w:tc>
      </w:tr>
      <w:tr>
        <w:trPr>
          <w:trHeight w:val="420"/>
        </w:trPr>
        <w:tc>
          <w:tcPr>
            <w:tcW w:w="336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3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6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3560" w:type="dxa"/>
            <w:vAlign w:val="bottom"/>
          </w:tcPr>
          <w:p>
            <w:pPr>
              <w:ind w:left="60"/>
              <w:spacing w:after="0"/>
              <w:rPr>
                <w:sz w:val="20"/>
                <w:szCs w:val="20"/>
                <w:color w:val="auto"/>
              </w:rPr>
            </w:pPr>
            <w:r>
              <w:rPr>
                <w:rFonts w:ascii="Arial" w:cs="Arial" w:eastAsia="Arial" w:hAnsi="Arial"/>
                <w:sz w:val="13"/>
                <w:szCs w:val="13"/>
                <w:color w:val="auto"/>
              </w:rPr>
              <w:t>Rónán Murphy</w:t>
            </w:r>
          </w:p>
        </w:tc>
        <w:tc>
          <w:tcPr>
            <w:tcW w:w="1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3560" w:type="dxa"/>
            <w:vAlign w:val="bottom"/>
          </w:tcPr>
          <w:p>
            <w:pPr>
              <w:ind w:left="60"/>
              <w:spacing w:after="0"/>
              <w:rPr>
                <w:sz w:val="20"/>
                <w:szCs w:val="20"/>
                <w:color w:val="auto"/>
              </w:rPr>
            </w:pPr>
            <w:r>
              <w:rPr>
                <w:rFonts w:ascii="Arial" w:cs="Arial" w:eastAsia="Arial" w:hAnsi="Arial"/>
                <w:sz w:val="13"/>
                <w:szCs w:val="13"/>
                <w:i w:val="1"/>
                <w:iCs w:val="1"/>
                <w:color w:val="auto"/>
              </w:rPr>
              <w:t>Director</w:t>
            </w:r>
          </w:p>
        </w:tc>
        <w:tc>
          <w:tcPr>
            <w:tcW w:w="1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716" w:right="31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Consolidated Statement of Changes in Equity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Financial assets at</w:t>
            </w:r>
          </w:p>
        </w:tc>
        <w:tc>
          <w:tcPr>
            <w:tcW w:w="8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30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Other Share-based</w:t>
            </w:r>
          </w:p>
        </w:tc>
        <w:tc>
          <w:tcPr>
            <w:tcW w:w="6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b w:val="1"/>
                <w:bCs w:val="1"/>
                <w:color w:val="auto"/>
              </w:rPr>
              <w:t>fair value through</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Put option in</w:t>
            </w:r>
          </w:p>
        </w:tc>
        <w:tc>
          <w:tcPr>
            <w:tcW w:w="6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Number</w:t>
            </w:r>
          </w:p>
        </w:tc>
        <w:tc>
          <w:tcPr>
            <w:tcW w:w="52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Share</w:t>
            </w:r>
          </w:p>
        </w:tc>
        <w:tc>
          <w:tcPr>
            <w:tcW w:w="72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62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Other</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Currency</w:t>
            </w:r>
          </w:p>
        </w:tc>
        <w:tc>
          <w:tcPr>
            <w:tcW w:w="9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b w:val="1"/>
                <w:bCs w:val="1"/>
                <w:color w:val="auto"/>
              </w:rPr>
              <w:t>other</w:t>
            </w:r>
          </w:p>
        </w:tc>
        <w:tc>
          <w:tcPr>
            <w:tcW w:w="820" w:type="dxa"/>
            <w:vAlign w:val="bottom"/>
            <w:vMerge w:val="continue"/>
            <w:shd w:val="clear" w:color="auto" w:fill="CCEEFF"/>
          </w:tcPr>
          <w:p>
            <w:pPr>
              <w:spacing w:after="0"/>
              <w:rPr>
                <w:sz w:val="8"/>
                <w:szCs w:val="8"/>
                <w:color w:val="auto"/>
              </w:rPr>
            </w:pPr>
          </w:p>
        </w:tc>
        <w:tc>
          <w:tcPr>
            <w:tcW w:w="640" w:type="dxa"/>
            <w:vAlign w:val="bottom"/>
            <w:vMerge w:val="restart"/>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Retained</w:t>
            </w:r>
          </w:p>
        </w:tc>
        <w:tc>
          <w:tcPr>
            <w:tcW w:w="6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Noncontrolling</w:t>
            </w: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8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400" w:type="dxa"/>
            <w:vAlign w:val="bottom"/>
            <w:gridSpan w:val="2"/>
            <w:shd w:val="clear" w:color="auto" w:fill="CCEEFF"/>
          </w:tcPr>
          <w:p>
            <w:pPr>
              <w:jc w:val="right"/>
              <w:ind w:right="71"/>
              <w:spacing w:after="0" w:line="96" w:lineRule="exact"/>
              <w:rPr>
                <w:sz w:val="20"/>
                <w:szCs w:val="20"/>
                <w:color w:val="auto"/>
              </w:rPr>
            </w:pPr>
            <w:r>
              <w:rPr>
                <w:rFonts w:ascii="Arial" w:cs="Arial" w:eastAsia="Arial" w:hAnsi="Arial"/>
                <w:sz w:val="10"/>
                <w:szCs w:val="10"/>
                <w:b w:val="1"/>
                <w:bCs w:val="1"/>
                <w:color w:val="auto"/>
              </w:rPr>
              <w:t>Share Undenominated</w:t>
            </w:r>
          </w:p>
        </w:tc>
        <w:tc>
          <w:tcPr>
            <w:tcW w:w="620" w:type="dxa"/>
            <w:vAlign w:val="bottom"/>
            <w:shd w:val="clear" w:color="auto" w:fill="CCEEFF"/>
          </w:tcPr>
          <w:p>
            <w:pPr>
              <w:jc w:val="right"/>
              <w:ind w:right="51"/>
              <w:spacing w:after="0" w:line="96" w:lineRule="exact"/>
              <w:rPr>
                <w:sz w:val="20"/>
                <w:szCs w:val="20"/>
                <w:color w:val="auto"/>
              </w:rPr>
            </w:pPr>
            <w:r>
              <w:rPr>
                <w:rFonts w:ascii="Arial" w:cs="Arial" w:eastAsia="Arial" w:hAnsi="Arial"/>
                <w:sz w:val="10"/>
                <w:szCs w:val="10"/>
                <w:b w:val="1"/>
                <w:bCs w:val="1"/>
                <w:color w:val="auto"/>
              </w:rPr>
              <w:t>Payment</w:t>
            </w:r>
          </w:p>
        </w:tc>
        <w:tc>
          <w:tcPr>
            <w:tcW w:w="62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9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b w:val="1"/>
                <w:bCs w:val="1"/>
                <w:color w:val="auto"/>
              </w:rPr>
              <w:t>comprehensive</w:t>
            </w:r>
          </w:p>
        </w:tc>
        <w:tc>
          <w:tcPr>
            <w:tcW w:w="820" w:type="dxa"/>
            <w:vAlign w:val="bottom"/>
            <w:shd w:val="clear" w:color="auto" w:fill="CCEEFF"/>
          </w:tcPr>
          <w:p>
            <w:pPr>
              <w:jc w:val="right"/>
              <w:ind w:right="31"/>
              <w:spacing w:after="0" w:line="96" w:lineRule="exact"/>
              <w:rPr>
                <w:sz w:val="20"/>
                <w:szCs w:val="20"/>
                <w:color w:val="auto"/>
              </w:rPr>
            </w:pPr>
            <w:r>
              <w:rPr>
                <w:rFonts w:ascii="Arial" w:cs="Arial" w:eastAsia="Arial" w:hAnsi="Arial"/>
                <w:sz w:val="10"/>
                <w:szCs w:val="10"/>
                <w:b w:val="1"/>
                <w:bCs w:val="1"/>
                <w:color w:val="auto"/>
              </w:rPr>
              <w:t>noncontrolling</w:t>
            </w:r>
          </w:p>
        </w:tc>
        <w:tc>
          <w:tcPr>
            <w:tcW w:w="640" w:type="dxa"/>
            <w:vAlign w:val="bottom"/>
            <w:vMerge w:val="continue"/>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Sub total</w:t>
            </w:r>
          </w:p>
        </w:tc>
        <w:tc>
          <w:tcPr>
            <w:tcW w:w="880" w:type="dxa"/>
            <w:vAlign w:val="bottom"/>
            <w:vMerge w:val="continue"/>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of shares</w:t>
            </w:r>
          </w:p>
        </w:tc>
        <w:tc>
          <w:tcPr>
            <w:tcW w:w="5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Capital</w:t>
            </w:r>
          </w:p>
        </w:tc>
        <w:tc>
          <w:tcPr>
            <w:tcW w:w="720" w:type="dxa"/>
            <w:vAlign w:val="bottom"/>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Premium</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Capital</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Reserve</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Reserves</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Reserve</w:t>
            </w: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income reserve</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interest shares</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Earnings</w:t>
            </w:r>
          </w:p>
        </w:tc>
        <w:tc>
          <w:tcPr>
            <w:tcW w:w="620" w:type="dxa"/>
            <w:vAlign w:val="bottom"/>
            <w:vMerge w:val="continue"/>
            <w:shd w:val="clear" w:color="auto" w:fill="CCEEFF"/>
          </w:tcPr>
          <w:p>
            <w:pPr>
              <w:spacing w:after="0"/>
              <w:rPr>
                <w:sz w:val="11"/>
                <w:szCs w:val="11"/>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interest</w:t>
            </w: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$’000</w:t>
            </w: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$’000</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$’000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$’000</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1 January 2020</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53,622,206</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4,635</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b w:val="1"/>
                <w:bCs w:val="1"/>
                <w:color w:val="auto"/>
              </w:rPr>
              <w:t>305,228</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1,052</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174,230</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10,874</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(71,492)</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231</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(38,482)</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1,220,871</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1,607,147</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34,462</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1,641,609</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Profit for the year attributable to the Group</w:t>
            </w:r>
          </w:p>
        </w:tc>
        <w:tc>
          <w:tcPr>
            <w:tcW w:w="7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330,792</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330,792</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330,792</w:t>
            </w:r>
          </w:p>
        </w:tc>
        <w:tc>
          <w:tcPr>
            <w:tcW w:w="0" w:type="dxa"/>
            <w:vAlign w:val="bottom"/>
          </w:tcPr>
          <w:p>
            <w:pPr>
              <w:spacing w:after="0"/>
              <w:rPr>
                <w:sz w:val="1"/>
                <w:szCs w:val="1"/>
                <w:color w:val="auto"/>
              </w:rPr>
            </w:pPr>
          </w:p>
        </w:tc>
      </w:tr>
      <w:tr>
        <w:trPr>
          <w:trHeight w:val="109"/>
        </w:trPr>
        <w:tc>
          <w:tcPr>
            <w:tcW w:w="228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Profit for the year attributable to redeemable</w:t>
            </w:r>
          </w:p>
        </w:tc>
        <w:tc>
          <w:tcPr>
            <w:tcW w:w="7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noncontrolling interest</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633</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633</w:t>
            </w: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Foreign currency translation</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48,129</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48,129</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48,129</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Currency impact on long-term funding</w:t>
            </w:r>
          </w:p>
        </w:tc>
        <w:tc>
          <w:tcPr>
            <w:tcW w:w="7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(1,603)</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(1,603)</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(1,603)</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Unrealised fair value movements on investments</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(231)</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(231)</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(231)</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Re-measurement of defined benefit liability</w:t>
            </w:r>
          </w:p>
        </w:tc>
        <w:tc>
          <w:tcPr>
            <w:tcW w:w="7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(3,730)</w:t>
            </w:r>
          </w:p>
        </w:tc>
        <w:tc>
          <w:tcPr>
            <w:tcW w:w="620" w:type="dxa"/>
            <w:vAlign w:val="bottom"/>
          </w:tcPr>
          <w:p>
            <w:pPr>
              <w:jc w:val="right"/>
              <w:spacing w:after="0"/>
              <w:rPr>
                <w:sz w:val="20"/>
                <w:szCs w:val="20"/>
                <w:color w:val="auto"/>
              </w:rPr>
            </w:pPr>
            <w:r>
              <w:rPr>
                <w:rFonts w:ascii="Arial" w:cs="Arial" w:eastAsia="Arial" w:hAnsi="Arial"/>
                <w:sz w:val="10"/>
                <w:szCs w:val="10"/>
                <w:color w:val="auto"/>
              </w:rPr>
              <w:t>(3,730)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(3,730)</w:t>
            </w:r>
          </w:p>
        </w:tc>
        <w:tc>
          <w:tcPr>
            <w:tcW w:w="0" w:type="dxa"/>
            <w:vAlign w:val="bottom"/>
          </w:tcPr>
          <w:p>
            <w:pPr>
              <w:spacing w:after="0"/>
              <w:rPr>
                <w:sz w:val="1"/>
                <w:szCs w:val="1"/>
                <w:color w:val="auto"/>
              </w:rPr>
            </w:pPr>
          </w:p>
        </w:tc>
      </w:tr>
      <w:tr>
        <w:trPr>
          <w:trHeight w:val="109"/>
        </w:trPr>
        <w:tc>
          <w:tcPr>
            <w:tcW w:w="228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Tax benefit on defined benefit pension</w:t>
            </w:r>
          </w:p>
        </w:tc>
        <w:tc>
          <w:tcPr>
            <w:tcW w:w="7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contributions</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Amortisation of interest rate hedge</w:t>
            </w:r>
          </w:p>
        </w:tc>
        <w:tc>
          <w:tcPr>
            <w:tcW w:w="7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(910)</w:t>
            </w: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(910)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(910)</w:t>
            </w:r>
          </w:p>
        </w:tc>
        <w:tc>
          <w:tcPr>
            <w:tcW w:w="0" w:type="dxa"/>
            <w:vAlign w:val="bottom"/>
          </w:tcPr>
          <w:p>
            <w:pPr>
              <w:spacing w:after="0"/>
              <w:rPr>
                <w:sz w:val="1"/>
                <w:szCs w:val="1"/>
                <w:color w:val="auto"/>
              </w:rPr>
            </w:pPr>
          </w:p>
        </w:tc>
      </w:tr>
      <w:tr>
        <w:trPr>
          <w:trHeight w:val="138"/>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Loss on interest rate hedge</w:t>
            </w: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(905)</w:t>
            </w: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(905)</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(905)</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Total other comprehensive income</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(1,815)</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46,526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(231)</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(3,730)</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40,750</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40,750</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comprehensive income for the year</w:t>
            </w: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(1,815)</w:t>
            </w: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46,526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(231)</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327,062</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371,542</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633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372,175</w:t>
            </w:r>
          </w:p>
        </w:tc>
        <w:tc>
          <w:tcPr>
            <w:tcW w:w="0" w:type="dxa"/>
            <w:vAlign w:val="bottom"/>
          </w:tcPr>
          <w:p>
            <w:pPr>
              <w:spacing w:after="0"/>
              <w:rPr>
                <w:sz w:val="1"/>
                <w:szCs w:val="1"/>
                <w:color w:val="auto"/>
              </w:rPr>
            </w:pPr>
          </w:p>
        </w:tc>
      </w:tr>
      <w:tr>
        <w:trPr>
          <w:trHeight w:val="93"/>
        </w:trPr>
        <w:tc>
          <w:tcPr>
            <w:tcW w:w="228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Transactions with owners, recorded directly in</w:t>
            </w: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payment</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26,307</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26,307</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26,307</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Exercise of share options</w:t>
            </w:r>
          </w:p>
        </w:tc>
        <w:tc>
          <w:tcPr>
            <w:tcW w:w="760" w:type="dxa"/>
            <w:vAlign w:val="bottom"/>
          </w:tcPr>
          <w:p>
            <w:pPr>
              <w:jc w:val="right"/>
              <w:ind w:right="111"/>
              <w:spacing w:after="0"/>
              <w:rPr>
                <w:sz w:val="20"/>
                <w:szCs w:val="20"/>
                <w:color w:val="auto"/>
              </w:rPr>
            </w:pPr>
            <w:r>
              <w:rPr>
                <w:rFonts w:ascii="Arial" w:cs="Arial" w:eastAsia="Arial" w:hAnsi="Arial"/>
                <w:sz w:val="10"/>
                <w:szCs w:val="10"/>
                <w:color w:val="auto"/>
              </w:rPr>
              <w:t>193,417</w:t>
            </w: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13</w:t>
            </w:r>
          </w:p>
        </w:tc>
        <w:tc>
          <w:tcPr>
            <w:tcW w:w="720" w:type="dxa"/>
            <w:vAlign w:val="bottom"/>
          </w:tcPr>
          <w:p>
            <w:pPr>
              <w:jc w:val="right"/>
              <w:ind w:right="211"/>
              <w:spacing w:after="0"/>
              <w:rPr>
                <w:sz w:val="20"/>
                <w:szCs w:val="20"/>
                <w:color w:val="auto"/>
              </w:rPr>
            </w:pPr>
            <w:r>
              <w:rPr>
                <w:rFonts w:ascii="Arial" w:cs="Arial" w:eastAsia="Arial" w:hAnsi="Arial"/>
                <w:sz w:val="10"/>
                <w:szCs w:val="10"/>
                <w:color w:val="auto"/>
              </w:rPr>
              <w:t>13,176</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13,189</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13,189</w:t>
            </w:r>
          </w:p>
        </w:tc>
        <w:tc>
          <w:tcPr>
            <w:tcW w:w="0" w:type="dxa"/>
            <w:vAlign w:val="bottom"/>
          </w:tcPr>
          <w:p>
            <w:pPr>
              <w:spacing w:after="0"/>
              <w:rPr>
                <w:sz w:val="1"/>
                <w:szCs w:val="1"/>
                <w:color w:val="auto"/>
              </w:rPr>
            </w:pPr>
          </w:p>
        </w:tc>
      </w:tr>
      <w:tr>
        <w:trPr>
          <w:trHeight w:val="109"/>
        </w:trPr>
        <w:tc>
          <w:tcPr>
            <w:tcW w:w="228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Transfer of exercised and expired share–based</w:t>
            </w:r>
          </w:p>
        </w:tc>
        <w:tc>
          <w:tcPr>
            <w:tcW w:w="7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awards</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(23,497)</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23,497</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1"/>
        </w:trPr>
        <w:tc>
          <w:tcPr>
            <w:tcW w:w="2280" w:type="dxa"/>
            <w:vAlign w:val="bottom"/>
          </w:tcPr>
          <w:p>
            <w:pPr>
              <w:ind w:left="20"/>
              <w:spacing w:after="0" w:line="102" w:lineRule="exact"/>
              <w:rPr>
                <w:sz w:val="20"/>
                <w:szCs w:val="20"/>
                <w:color w:val="auto"/>
              </w:rPr>
            </w:pPr>
            <w:r>
              <w:rPr>
                <w:rFonts w:ascii="Arial" w:cs="Arial" w:eastAsia="Arial" w:hAnsi="Arial"/>
                <w:sz w:val="10"/>
                <w:szCs w:val="10"/>
                <w:color w:val="auto"/>
              </w:rPr>
              <w:t>Issue of restricted share units/ performance share</w:t>
            </w: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280" w:type="dxa"/>
            <w:vAlign w:val="bottom"/>
          </w:tcPr>
          <w:p>
            <w:pPr>
              <w:ind w:left="20"/>
              <w:spacing w:after="0"/>
              <w:rPr>
                <w:sz w:val="20"/>
                <w:szCs w:val="20"/>
                <w:color w:val="auto"/>
              </w:rPr>
            </w:pPr>
            <w:r>
              <w:rPr>
                <w:rFonts w:ascii="Arial" w:cs="Arial" w:eastAsia="Arial" w:hAnsi="Arial"/>
                <w:sz w:val="10"/>
                <w:szCs w:val="10"/>
                <w:color w:val="auto"/>
              </w:rPr>
              <w:t>units</w:t>
            </w:r>
          </w:p>
        </w:tc>
        <w:tc>
          <w:tcPr>
            <w:tcW w:w="760" w:type="dxa"/>
            <w:vAlign w:val="bottom"/>
          </w:tcPr>
          <w:p>
            <w:pPr>
              <w:jc w:val="right"/>
              <w:ind w:right="111"/>
              <w:spacing w:after="0"/>
              <w:rPr>
                <w:sz w:val="20"/>
                <w:szCs w:val="20"/>
                <w:color w:val="auto"/>
              </w:rPr>
            </w:pPr>
            <w:r>
              <w:rPr>
                <w:rFonts w:ascii="Arial" w:cs="Arial" w:eastAsia="Arial" w:hAnsi="Arial"/>
                <w:sz w:val="10"/>
                <w:szCs w:val="10"/>
                <w:color w:val="auto"/>
              </w:rPr>
              <w:t>207,688</w:t>
            </w: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14</w:t>
            </w:r>
          </w:p>
        </w:tc>
        <w:tc>
          <w:tcPr>
            <w:tcW w:w="72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14</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issue costs</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Repurchase of ordinary shares</w:t>
            </w:r>
          </w:p>
        </w:tc>
        <w:tc>
          <w:tcPr>
            <w:tcW w:w="760" w:type="dxa"/>
            <w:vAlign w:val="bottom"/>
          </w:tcPr>
          <w:p>
            <w:pPr>
              <w:jc w:val="right"/>
              <w:ind w:right="91"/>
              <w:spacing w:after="0"/>
              <w:rPr>
                <w:sz w:val="20"/>
                <w:szCs w:val="20"/>
                <w:color w:val="auto"/>
              </w:rPr>
            </w:pPr>
            <w:r>
              <w:rPr>
                <w:rFonts w:ascii="Arial" w:cs="Arial" w:eastAsia="Arial" w:hAnsi="Arial"/>
                <w:sz w:val="10"/>
                <w:szCs w:val="10"/>
                <w:color w:val="auto"/>
              </w:rPr>
              <w:t>(1,235,218)</w:t>
            </w:r>
          </w:p>
        </w:tc>
        <w:tc>
          <w:tcPr>
            <w:tcW w:w="520" w:type="dxa"/>
            <w:vAlign w:val="bottom"/>
          </w:tcPr>
          <w:p>
            <w:pPr>
              <w:jc w:val="right"/>
              <w:ind w:right="31"/>
              <w:spacing w:after="0"/>
              <w:rPr>
                <w:sz w:val="20"/>
                <w:szCs w:val="20"/>
                <w:color w:val="auto"/>
              </w:rPr>
            </w:pPr>
            <w:r>
              <w:rPr>
                <w:rFonts w:ascii="Arial" w:cs="Arial" w:eastAsia="Arial" w:hAnsi="Arial"/>
                <w:sz w:val="10"/>
                <w:szCs w:val="10"/>
                <w:color w:val="auto"/>
              </w:rPr>
              <w:t>(82)</w:t>
            </w:r>
          </w:p>
        </w:tc>
        <w:tc>
          <w:tcPr>
            <w:tcW w:w="72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82</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(175,000)</w:t>
            </w:r>
          </w:p>
        </w:tc>
        <w:tc>
          <w:tcPr>
            <w:tcW w:w="620" w:type="dxa"/>
            <w:vAlign w:val="bottom"/>
          </w:tcPr>
          <w:p>
            <w:pPr>
              <w:jc w:val="right"/>
              <w:spacing w:after="0"/>
              <w:rPr>
                <w:sz w:val="20"/>
                <w:szCs w:val="20"/>
                <w:color w:val="auto"/>
              </w:rPr>
            </w:pPr>
            <w:r>
              <w:rPr>
                <w:rFonts w:ascii="Arial" w:cs="Arial" w:eastAsia="Arial" w:hAnsi="Arial"/>
                <w:sz w:val="10"/>
                <w:szCs w:val="10"/>
                <w:color w:val="auto"/>
              </w:rPr>
              <w:t>(175,000)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(175,000)</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repurchase costs</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(140)</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Tax benefit excess on exercise of options</w:t>
            </w:r>
          </w:p>
        </w:tc>
        <w:tc>
          <w:tcPr>
            <w:tcW w:w="7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3,815</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3,815</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3,815</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Deferred tax movement on unexercised options</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(1,286)</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(1,286)</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(1,286)</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Settlement of acquisition of noncontrolling interest</w:t>
            </w:r>
          </w:p>
        </w:tc>
        <w:tc>
          <w:tcPr>
            <w:tcW w:w="7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35,095</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35,095</w:t>
            </w: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(35,095)</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28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Settlement of put option on noncontrolling interest</w:t>
            </w:r>
          </w:p>
        </w:tc>
        <w:tc>
          <w:tcPr>
            <w:tcW w:w="7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shares</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38,482</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(38,482)</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Non-distributable reserves</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2,907</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(2,907)</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contributions by and distributions to owners</w:t>
            </w:r>
          </w:p>
        </w:tc>
        <w:tc>
          <w:tcPr>
            <w:tcW w:w="7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(834,113)</w:t>
            </w: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(55)</w:t>
            </w:r>
          </w:p>
        </w:tc>
        <w:tc>
          <w:tcPr>
            <w:tcW w:w="7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rPr>
              <w:t>13,176</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82</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5,339</w:t>
            </w: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2,907</w:t>
            </w: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38,482</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(157,951)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(98,020)</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(35,095)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(133,115)</w:t>
            </w:r>
          </w:p>
        </w:tc>
        <w:tc>
          <w:tcPr>
            <w:tcW w:w="0" w:type="dxa"/>
            <w:vAlign w:val="bottom"/>
          </w:tcPr>
          <w:p>
            <w:pPr>
              <w:spacing w:after="0"/>
              <w:rPr>
                <w:sz w:val="1"/>
                <w:szCs w:val="1"/>
                <w:color w:val="auto"/>
              </w:rPr>
            </w:pPr>
          </w:p>
        </w:tc>
      </w:tr>
      <w:tr>
        <w:trPr>
          <w:trHeight w:val="137"/>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Balance at 31 December 2020</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52,788,093</w:t>
            </w: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4,580</w:t>
            </w: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318,404</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1,134</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179,569</w:t>
            </w: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11,966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(24,966)</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1,389,982</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1,880,669</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1,880,669</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716"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Consolidated Statement of Changes in Equity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Financial assets</w:t>
            </w:r>
          </w:p>
        </w:tc>
        <w:tc>
          <w:tcPr>
            <w:tcW w:w="8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30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Other Share-based</w:t>
            </w: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1"/>
              <w:spacing w:after="0" w:line="96" w:lineRule="exact"/>
              <w:rPr>
                <w:sz w:val="20"/>
                <w:szCs w:val="20"/>
                <w:color w:val="auto"/>
              </w:rPr>
            </w:pPr>
            <w:r>
              <w:rPr>
                <w:rFonts w:ascii="Arial" w:cs="Arial" w:eastAsia="Arial" w:hAnsi="Arial"/>
                <w:sz w:val="10"/>
                <w:szCs w:val="10"/>
                <w:b w:val="1"/>
                <w:bCs w:val="1"/>
                <w:color w:val="auto"/>
              </w:rPr>
              <w:t>at fair value</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Put option in</w:t>
            </w:r>
          </w:p>
        </w:tc>
        <w:tc>
          <w:tcPr>
            <w:tcW w:w="6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8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Number</w:t>
            </w:r>
          </w:p>
        </w:tc>
        <w:tc>
          <w:tcPr>
            <w:tcW w:w="50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Share</w:t>
            </w:r>
          </w:p>
        </w:tc>
        <w:tc>
          <w:tcPr>
            <w:tcW w:w="74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62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Other</w:t>
            </w: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Currency</w:t>
            </w:r>
          </w:p>
        </w:tc>
        <w:tc>
          <w:tcPr>
            <w:tcW w:w="8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b w:val="1"/>
                <w:bCs w:val="1"/>
                <w:color w:val="auto"/>
              </w:rPr>
              <w:t>through other</w:t>
            </w:r>
          </w:p>
        </w:tc>
        <w:tc>
          <w:tcPr>
            <w:tcW w:w="820" w:type="dxa"/>
            <w:vAlign w:val="bottom"/>
            <w:vMerge w:val="continue"/>
            <w:shd w:val="clear" w:color="auto" w:fill="CCEEFF"/>
          </w:tcPr>
          <w:p>
            <w:pPr>
              <w:spacing w:after="0"/>
              <w:rPr>
                <w:sz w:val="8"/>
                <w:szCs w:val="8"/>
                <w:color w:val="auto"/>
              </w:rPr>
            </w:pPr>
          </w:p>
        </w:tc>
        <w:tc>
          <w:tcPr>
            <w:tcW w:w="640" w:type="dxa"/>
            <w:vAlign w:val="bottom"/>
            <w:vMerge w:val="restart"/>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Retained</w:t>
            </w:r>
          </w:p>
        </w:tc>
        <w:tc>
          <w:tcPr>
            <w:tcW w:w="64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Noncontrolling</w:t>
            </w: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8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420" w:type="dxa"/>
            <w:vAlign w:val="bottom"/>
            <w:gridSpan w:val="2"/>
            <w:shd w:val="clear" w:color="auto" w:fill="CCEEFF"/>
          </w:tcPr>
          <w:p>
            <w:pPr>
              <w:jc w:val="right"/>
              <w:ind w:right="71"/>
              <w:spacing w:after="0" w:line="96" w:lineRule="exact"/>
              <w:rPr>
                <w:sz w:val="20"/>
                <w:szCs w:val="20"/>
                <w:color w:val="auto"/>
              </w:rPr>
            </w:pPr>
            <w:r>
              <w:rPr>
                <w:rFonts w:ascii="Arial" w:cs="Arial" w:eastAsia="Arial" w:hAnsi="Arial"/>
                <w:sz w:val="10"/>
                <w:szCs w:val="10"/>
                <w:b w:val="1"/>
                <w:bCs w:val="1"/>
                <w:color w:val="auto"/>
              </w:rPr>
              <w:t>Share Undenominated</w:t>
            </w:r>
          </w:p>
        </w:tc>
        <w:tc>
          <w:tcPr>
            <w:tcW w:w="620" w:type="dxa"/>
            <w:vAlign w:val="bottom"/>
            <w:shd w:val="clear" w:color="auto" w:fill="CCEEFF"/>
          </w:tcPr>
          <w:p>
            <w:pPr>
              <w:jc w:val="right"/>
              <w:ind w:right="51"/>
              <w:spacing w:after="0" w:line="96" w:lineRule="exact"/>
              <w:rPr>
                <w:sz w:val="20"/>
                <w:szCs w:val="20"/>
                <w:color w:val="auto"/>
              </w:rPr>
            </w:pPr>
            <w:r>
              <w:rPr>
                <w:rFonts w:ascii="Arial" w:cs="Arial" w:eastAsia="Arial" w:hAnsi="Arial"/>
                <w:sz w:val="10"/>
                <w:szCs w:val="10"/>
                <w:b w:val="1"/>
                <w:bCs w:val="1"/>
                <w:color w:val="auto"/>
              </w:rPr>
              <w:t>Payment</w:t>
            </w:r>
          </w:p>
        </w:tc>
        <w:tc>
          <w:tcPr>
            <w:tcW w:w="62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8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b w:val="1"/>
                <w:bCs w:val="1"/>
                <w:color w:val="auto"/>
              </w:rPr>
              <w:t>comprehensive</w:t>
            </w:r>
          </w:p>
        </w:tc>
        <w:tc>
          <w:tcPr>
            <w:tcW w:w="820" w:type="dxa"/>
            <w:vAlign w:val="bottom"/>
            <w:shd w:val="clear" w:color="auto" w:fill="CCEEFF"/>
          </w:tcPr>
          <w:p>
            <w:pPr>
              <w:jc w:val="right"/>
              <w:ind w:right="31"/>
              <w:spacing w:after="0" w:line="96" w:lineRule="exact"/>
              <w:rPr>
                <w:sz w:val="20"/>
                <w:szCs w:val="20"/>
                <w:color w:val="auto"/>
              </w:rPr>
            </w:pPr>
            <w:r>
              <w:rPr>
                <w:rFonts w:ascii="Arial" w:cs="Arial" w:eastAsia="Arial" w:hAnsi="Arial"/>
                <w:sz w:val="10"/>
                <w:szCs w:val="10"/>
                <w:b w:val="1"/>
                <w:bCs w:val="1"/>
                <w:color w:val="auto"/>
              </w:rPr>
              <w:t>noncontrolling</w:t>
            </w:r>
          </w:p>
        </w:tc>
        <w:tc>
          <w:tcPr>
            <w:tcW w:w="640" w:type="dxa"/>
            <w:vAlign w:val="bottom"/>
            <w:vMerge w:val="continue"/>
            <w:shd w:val="clear" w:color="auto" w:fill="CCEEFF"/>
          </w:tcPr>
          <w:p>
            <w:pPr>
              <w:spacing w:after="0"/>
              <w:rPr>
                <w:sz w:val="8"/>
                <w:szCs w:val="8"/>
                <w:color w:val="auto"/>
              </w:rPr>
            </w:pPr>
          </w:p>
        </w:tc>
        <w:tc>
          <w:tcPr>
            <w:tcW w:w="64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Sub total</w:t>
            </w:r>
          </w:p>
        </w:tc>
        <w:tc>
          <w:tcPr>
            <w:tcW w:w="880" w:type="dxa"/>
            <w:vAlign w:val="bottom"/>
            <w:vMerge w:val="continue"/>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of shares</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Capital</w:t>
            </w:r>
          </w:p>
        </w:tc>
        <w:tc>
          <w:tcPr>
            <w:tcW w:w="740" w:type="dxa"/>
            <w:vAlign w:val="bottom"/>
            <w:shd w:val="clear" w:color="auto" w:fill="CCEEFF"/>
          </w:tcPr>
          <w:p>
            <w:pPr>
              <w:jc w:val="right"/>
              <w:ind w:right="191"/>
              <w:spacing w:after="0"/>
              <w:rPr>
                <w:sz w:val="20"/>
                <w:szCs w:val="20"/>
                <w:color w:val="auto"/>
              </w:rPr>
            </w:pPr>
            <w:r>
              <w:rPr>
                <w:rFonts w:ascii="Arial" w:cs="Arial" w:eastAsia="Arial" w:hAnsi="Arial"/>
                <w:sz w:val="10"/>
                <w:szCs w:val="10"/>
                <w:b w:val="1"/>
                <w:bCs w:val="1"/>
                <w:color w:val="auto"/>
              </w:rPr>
              <w:t>Premium</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Capital</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Reserve</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Reserves</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Reserve</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income reserve</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interest shares</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Earnings</w:t>
            </w:r>
          </w:p>
        </w:tc>
        <w:tc>
          <w:tcPr>
            <w:tcW w:w="640" w:type="dxa"/>
            <w:vAlign w:val="bottom"/>
            <w:vMerge w:val="continue"/>
            <w:shd w:val="clear" w:color="auto" w:fill="CCEEFF"/>
          </w:tcPr>
          <w:p>
            <w:pPr>
              <w:spacing w:after="0"/>
              <w:rPr>
                <w:sz w:val="11"/>
                <w:szCs w:val="11"/>
                <w:color w:val="auto"/>
              </w:rPr>
            </w:pP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interest</w:t>
            </w: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$’000</w:t>
            </w: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b w:val="1"/>
                <w:bCs w:val="1"/>
                <w:color w:val="auto"/>
              </w:rPr>
              <w:t>$’000</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$’000</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$’000</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$’000</w:t>
            </w: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1 January 2019</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53,971,706</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4,658</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283,629</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983</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173,326</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11,868</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(67,469)</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(450)</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979,834</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1,386,379</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1,386,379</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Profit for the year attributable to the Group</w:t>
            </w:r>
          </w:p>
        </w:tc>
        <w:tc>
          <w:tcPr>
            <w:tcW w:w="7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359,163</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359,163</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359,163</w:t>
            </w:r>
          </w:p>
        </w:tc>
        <w:tc>
          <w:tcPr>
            <w:tcW w:w="0" w:type="dxa"/>
            <w:vAlign w:val="bottom"/>
          </w:tcPr>
          <w:p>
            <w:pPr>
              <w:spacing w:after="0"/>
              <w:rPr>
                <w:sz w:val="1"/>
                <w:szCs w:val="1"/>
                <w:color w:val="auto"/>
              </w:rPr>
            </w:pPr>
          </w:p>
        </w:tc>
      </w:tr>
      <w:tr>
        <w:trPr>
          <w:trHeight w:val="109"/>
        </w:trPr>
        <w:tc>
          <w:tcPr>
            <w:tcW w:w="228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Profit for the year attributable to redeemable</w:t>
            </w:r>
          </w:p>
        </w:tc>
        <w:tc>
          <w:tcPr>
            <w:tcW w:w="7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noncontrolling interest</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1,870</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1,870</w:t>
            </w: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Foreign currency translation</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(1,313)</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(1,313)</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(1,313)</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Currency impact on long-term funding</w:t>
            </w:r>
          </w:p>
        </w:tc>
        <w:tc>
          <w:tcPr>
            <w:tcW w:w="7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(2,710)</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(2,710)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(2,710)</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flow hedge</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Unrealised fair value movements on investments</w:t>
            </w:r>
          </w:p>
        </w:tc>
        <w:tc>
          <w:tcPr>
            <w:tcW w:w="7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681</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681</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681</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Re-measurement of defined benefit liability</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(2,407)</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(2,407)</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(2,407)</w:t>
            </w:r>
          </w:p>
        </w:tc>
        <w:tc>
          <w:tcPr>
            <w:tcW w:w="0" w:type="dxa"/>
            <w:vAlign w:val="bottom"/>
          </w:tcPr>
          <w:p>
            <w:pPr>
              <w:spacing w:after="0"/>
              <w:rPr>
                <w:sz w:val="1"/>
                <w:szCs w:val="1"/>
                <w:color w:val="auto"/>
              </w:rPr>
            </w:pPr>
          </w:p>
        </w:tc>
      </w:tr>
      <w:tr>
        <w:trPr>
          <w:trHeight w:val="101"/>
        </w:trPr>
        <w:tc>
          <w:tcPr>
            <w:tcW w:w="2280" w:type="dxa"/>
            <w:vAlign w:val="bottom"/>
          </w:tcPr>
          <w:p>
            <w:pPr>
              <w:ind w:left="20"/>
              <w:spacing w:after="0" w:line="102" w:lineRule="exact"/>
              <w:rPr>
                <w:sz w:val="20"/>
                <w:szCs w:val="20"/>
                <w:color w:val="auto"/>
              </w:rPr>
            </w:pPr>
            <w:r>
              <w:rPr>
                <w:rFonts w:ascii="Arial" w:cs="Arial" w:eastAsia="Arial" w:hAnsi="Arial"/>
                <w:sz w:val="10"/>
                <w:szCs w:val="10"/>
                <w:color w:val="auto"/>
              </w:rPr>
              <w:t>Tax benefit on defined benefit pension</w:t>
            </w: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280" w:type="dxa"/>
            <w:vAlign w:val="bottom"/>
          </w:tcPr>
          <w:p>
            <w:pPr>
              <w:ind w:left="20"/>
              <w:spacing w:after="0"/>
              <w:rPr>
                <w:sz w:val="20"/>
                <w:szCs w:val="20"/>
                <w:color w:val="auto"/>
              </w:rPr>
            </w:pPr>
            <w:r>
              <w:rPr>
                <w:rFonts w:ascii="Arial" w:cs="Arial" w:eastAsia="Arial" w:hAnsi="Arial"/>
                <w:sz w:val="10"/>
                <w:szCs w:val="10"/>
                <w:color w:val="auto"/>
              </w:rPr>
              <w:t>contributions</w:t>
            </w:r>
          </w:p>
        </w:tc>
        <w:tc>
          <w:tcPr>
            <w:tcW w:w="7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Amortisation of interest rate hedge</w:t>
            </w:r>
          </w:p>
        </w:tc>
        <w:tc>
          <w:tcPr>
            <w:tcW w:w="7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(923)</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(923)</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(923)</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other comprehensive income</w:t>
            </w: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(923)</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(4,023)</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681</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(2,407)</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(6,672)</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(6,672)</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comprehensive income for the year</w:t>
            </w:r>
          </w:p>
        </w:tc>
        <w:tc>
          <w:tcPr>
            <w:tcW w:w="7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(923)</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(4,023)</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681</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356,756</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352,491</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1,870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354,361</w:t>
            </w:r>
          </w:p>
        </w:tc>
        <w:tc>
          <w:tcPr>
            <w:tcW w:w="0" w:type="dxa"/>
            <w:vAlign w:val="bottom"/>
          </w:tcPr>
          <w:p>
            <w:pPr>
              <w:spacing w:after="0"/>
              <w:rPr>
                <w:sz w:val="1"/>
                <w:szCs w:val="1"/>
                <w:color w:val="auto"/>
              </w:rPr>
            </w:pPr>
          </w:p>
        </w:tc>
      </w:tr>
      <w:tr>
        <w:trPr>
          <w:trHeight w:val="93"/>
        </w:trPr>
        <w:tc>
          <w:tcPr>
            <w:tcW w:w="228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Transactions with owners, recorded directly in</w:t>
            </w: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payment</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25,800</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25,800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25,800</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Exercise of share options</w:t>
            </w:r>
          </w:p>
        </w:tc>
        <w:tc>
          <w:tcPr>
            <w:tcW w:w="740" w:type="dxa"/>
            <w:vAlign w:val="bottom"/>
          </w:tcPr>
          <w:p>
            <w:pPr>
              <w:jc w:val="right"/>
              <w:ind w:right="91"/>
              <w:spacing w:after="0"/>
              <w:rPr>
                <w:sz w:val="20"/>
                <w:szCs w:val="20"/>
                <w:color w:val="auto"/>
              </w:rPr>
            </w:pPr>
            <w:r>
              <w:rPr>
                <w:rFonts w:ascii="Arial" w:cs="Arial" w:eastAsia="Arial" w:hAnsi="Arial"/>
                <w:sz w:val="10"/>
                <w:szCs w:val="10"/>
                <w:color w:val="auto"/>
              </w:rPr>
              <w:t>329,870</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22</w:t>
            </w:r>
          </w:p>
        </w:tc>
        <w:tc>
          <w:tcPr>
            <w:tcW w:w="740" w:type="dxa"/>
            <w:vAlign w:val="bottom"/>
          </w:tcPr>
          <w:p>
            <w:pPr>
              <w:jc w:val="right"/>
              <w:ind w:right="231"/>
              <w:spacing w:after="0"/>
              <w:rPr>
                <w:sz w:val="20"/>
                <w:szCs w:val="20"/>
                <w:color w:val="auto"/>
              </w:rPr>
            </w:pPr>
            <w:r>
              <w:rPr>
                <w:rFonts w:ascii="Arial" w:cs="Arial" w:eastAsia="Arial" w:hAnsi="Arial"/>
                <w:sz w:val="10"/>
                <w:szCs w:val="10"/>
                <w:color w:val="auto"/>
              </w:rPr>
              <w:t>21,599</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21,621</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21,621</w:t>
            </w:r>
          </w:p>
        </w:tc>
        <w:tc>
          <w:tcPr>
            <w:tcW w:w="0" w:type="dxa"/>
            <w:vAlign w:val="bottom"/>
          </w:tcPr>
          <w:p>
            <w:pPr>
              <w:spacing w:after="0"/>
              <w:rPr>
                <w:sz w:val="1"/>
                <w:szCs w:val="1"/>
                <w:color w:val="auto"/>
              </w:rPr>
            </w:pPr>
          </w:p>
        </w:tc>
      </w:tr>
      <w:tr>
        <w:trPr>
          <w:trHeight w:val="109"/>
        </w:trPr>
        <w:tc>
          <w:tcPr>
            <w:tcW w:w="228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Transfer of exercised and expired share–based</w:t>
            </w:r>
          </w:p>
        </w:tc>
        <w:tc>
          <w:tcPr>
            <w:tcW w:w="7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awards</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(31,261)</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31,261</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1"/>
        </w:trPr>
        <w:tc>
          <w:tcPr>
            <w:tcW w:w="2280" w:type="dxa"/>
            <w:vAlign w:val="bottom"/>
          </w:tcPr>
          <w:p>
            <w:pPr>
              <w:ind w:left="20"/>
              <w:spacing w:after="0" w:line="102" w:lineRule="exact"/>
              <w:rPr>
                <w:sz w:val="20"/>
                <w:szCs w:val="20"/>
                <w:color w:val="auto"/>
              </w:rPr>
            </w:pPr>
            <w:r>
              <w:rPr>
                <w:rFonts w:ascii="Arial" w:cs="Arial" w:eastAsia="Arial" w:hAnsi="Arial"/>
                <w:sz w:val="10"/>
                <w:szCs w:val="10"/>
                <w:color w:val="auto"/>
              </w:rPr>
              <w:t>Issue of restricted share units/ performance share</w:t>
            </w: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280" w:type="dxa"/>
            <w:vAlign w:val="bottom"/>
          </w:tcPr>
          <w:p>
            <w:pPr>
              <w:ind w:left="20"/>
              <w:spacing w:after="0"/>
              <w:rPr>
                <w:sz w:val="20"/>
                <w:szCs w:val="20"/>
                <w:color w:val="auto"/>
              </w:rPr>
            </w:pPr>
            <w:r>
              <w:rPr>
                <w:rFonts w:ascii="Arial" w:cs="Arial" w:eastAsia="Arial" w:hAnsi="Arial"/>
                <w:sz w:val="10"/>
                <w:szCs w:val="10"/>
                <w:color w:val="auto"/>
              </w:rPr>
              <w:t>units</w:t>
            </w:r>
          </w:p>
        </w:tc>
        <w:tc>
          <w:tcPr>
            <w:tcW w:w="740" w:type="dxa"/>
            <w:vAlign w:val="bottom"/>
          </w:tcPr>
          <w:p>
            <w:pPr>
              <w:jc w:val="right"/>
              <w:ind w:right="91"/>
              <w:spacing w:after="0"/>
              <w:rPr>
                <w:sz w:val="20"/>
                <w:szCs w:val="20"/>
                <w:color w:val="auto"/>
              </w:rPr>
            </w:pPr>
            <w:r>
              <w:rPr>
                <w:rFonts w:ascii="Arial" w:cs="Arial" w:eastAsia="Arial" w:hAnsi="Arial"/>
                <w:sz w:val="10"/>
                <w:szCs w:val="10"/>
                <w:color w:val="auto"/>
              </w:rPr>
              <w:t>355,730</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24</w:t>
            </w:r>
          </w:p>
        </w:tc>
        <w:tc>
          <w:tcPr>
            <w:tcW w:w="7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24</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issue costs</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Repurchase of ordinary shares</w:t>
            </w:r>
          </w:p>
        </w:tc>
        <w:tc>
          <w:tcPr>
            <w:tcW w:w="740" w:type="dxa"/>
            <w:vAlign w:val="bottom"/>
          </w:tcPr>
          <w:p>
            <w:pPr>
              <w:jc w:val="right"/>
              <w:ind w:right="71"/>
              <w:spacing w:after="0"/>
              <w:rPr>
                <w:sz w:val="20"/>
                <w:szCs w:val="20"/>
                <w:color w:val="auto"/>
              </w:rPr>
            </w:pPr>
            <w:r>
              <w:rPr>
                <w:rFonts w:ascii="Arial" w:cs="Arial" w:eastAsia="Arial" w:hAnsi="Arial"/>
                <w:sz w:val="10"/>
                <w:szCs w:val="10"/>
                <w:color w:val="auto"/>
              </w:rPr>
              <w:t>(1,035,100)</w:t>
            </w:r>
          </w:p>
        </w:tc>
        <w:tc>
          <w:tcPr>
            <w:tcW w:w="500" w:type="dxa"/>
            <w:vAlign w:val="bottom"/>
          </w:tcPr>
          <w:p>
            <w:pPr>
              <w:jc w:val="right"/>
              <w:ind w:right="31"/>
              <w:spacing w:after="0"/>
              <w:rPr>
                <w:sz w:val="20"/>
                <w:szCs w:val="20"/>
                <w:color w:val="auto"/>
              </w:rPr>
            </w:pPr>
            <w:r>
              <w:rPr>
                <w:rFonts w:ascii="Arial" w:cs="Arial" w:eastAsia="Arial" w:hAnsi="Arial"/>
                <w:sz w:val="10"/>
                <w:szCs w:val="10"/>
                <w:color w:val="auto"/>
              </w:rPr>
              <w:t>(69)</w:t>
            </w:r>
          </w:p>
        </w:tc>
        <w:tc>
          <w:tcPr>
            <w:tcW w:w="7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69</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(146,931)</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(146,931)</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(146,931)</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repurchase costs</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(107)</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(107)</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Tax benefit excess on exercise of options</w:t>
            </w:r>
          </w:p>
        </w:tc>
        <w:tc>
          <w:tcPr>
            <w:tcW w:w="7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7,046</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7,046</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7,046</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Deferred tax movement on unexercised options</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(681)</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(681)</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(681)</w:t>
            </w:r>
          </w:p>
        </w:tc>
        <w:tc>
          <w:tcPr>
            <w:tcW w:w="0" w:type="dxa"/>
            <w:vAlign w:val="bottom"/>
          </w:tcPr>
          <w:p>
            <w:pPr>
              <w:spacing w:after="0"/>
              <w:rPr>
                <w:sz w:val="1"/>
                <w:szCs w:val="1"/>
                <w:color w:val="auto"/>
              </w:rPr>
            </w:pPr>
          </w:p>
        </w:tc>
      </w:tr>
      <w:tr>
        <w:trPr>
          <w:trHeight w:val="131"/>
        </w:trPr>
        <w:tc>
          <w:tcPr>
            <w:tcW w:w="2280" w:type="dxa"/>
            <w:vAlign w:val="bottom"/>
          </w:tcPr>
          <w:p>
            <w:pPr>
              <w:ind w:left="20"/>
              <w:spacing w:after="0"/>
              <w:rPr>
                <w:sz w:val="20"/>
                <w:szCs w:val="20"/>
                <w:color w:val="auto"/>
              </w:rPr>
            </w:pPr>
            <w:r>
              <w:rPr>
                <w:rFonts w:ascii="Arial" w:cs="Arial" w:eastAsia="Arial" w:hAnsi="Arial"/>
                <w:sz w:val="10"/>
                <w:szCs w:val="10"/>
                <w:color w:val="auto"/>
              </w:rPr>
              <w:t>Acquisition of noncontrolling interest</w:t>
            </w:r>
          </w:p>
        </w:tc>
        <w:tc>
          <w:tcPr>
            <w:tcW w:w="7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32,592</w:t>
            </w:r>
          </w:p>
        </w:tc>
        <w:tc>
          <w:tcPr>
            <w:tcW w:w="620" w:type="dxa"/>
            <w:vAlign w:val="bottom"/>
          </w:tcPr>
          <w:p>
            <w:pPr>
              <w:jc w:val="right"/>
              <w:spacing w:after="0"/>
              <w:rPr>
                <w:sz w:val="20"/>
                <w:szCs w:val="20"/>
                <w:color w:val="auto"/>
              </w:rPr>
            </w:pPr>
            <w:r>
              <w:rPr>
                <w:rFonts w:ascii="Arial" w:cs="Arial" w:eastAsia="Arial" w:hAnsi="Arial"/>
                <w:sz w:val="10"/>
                <w:szCs w:val="10"/>
                <w:color w:val="auto"/>
              </w:rPr>
              <w:t>32,592</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Put option on noncontrolling interest shares</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(38,482)</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(38,482)</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(38,482)</w:t>
            </w:r>
          </w:p>
        </w:tc>
        <w:tc>
          <w:tcPr>
            <w:tcW w:w="0" w:type="dxa"/>
            <w:vAlign w:val="bottom"/>
          </w:tcPr>
          <w:p>
            <w:pPr>
              <w:spacing w:after="0"/>
              <w:rPr>
                <w:sz w:val="1"/>
                <w:szCs w:val="1"/>
                <w:color w:val="auto"/>
              </w:rPr>
            </w:pPr>
          </w:p>
        </w:tc>
      </w:tr>
      <w:tr>
        <w:trPr>
          <w:trHeight w:val="131"/>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Non-distributable reserves</w:t>
            </w: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(71)</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71</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contributions by and distributions to owners</w:t>
            </w:r>
          </w:p>
        </w:tc>
        <w:tc>
          <w:tcPr>
            <w:tcW w:w="7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(349,500)</w:t>
            </w:r>
          </w:p>
        </w:tc>
        <w:tc>
          <w:tcPr>
            <w:tcW w:w="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(23)</w:t>
            </w:r>
          </w:p>
        </w:tc>
        <w:tc>
          <w:tcPr>
            <w:tcW w:w="7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21,599</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69</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904</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(71)</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(38,482)</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(115,719)</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(131,723)</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32,592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(99,131)</w:t>
            </w:r>
          </w:p>
        </w:tc>
        <w:tc>
          <w:tcPr>
            <w:tcW w:w="0" w:type="dxa"/>
            <w:vAlign w:val="bottom"/>
          </w:tcPr>
          <w:p>
            <w:pPr>
              <w:spacing w:after="0"/>
              <w:rPr>
                <w:sz w:val="1"/>
                <w:szCs w:val="1"/>
                <w:color w:val="auto"/>
              </w:rPr>
            </w:pPr>
          </w:p>
        </w:tc>
      </w:tr>
      <w:tr>
        <w:trPr>
          <w:trHeight w:val="137"/>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Balance at 31 December 2019</w:t>
            </w: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53,622,206</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4,635</w:t>
            </w: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305,228</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1,052</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174,230</w:t>
            </w: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10,874</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(71,492)</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231</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(38,482)</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1,220,871</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1,607,147</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34,462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1,641,609</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25</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80"/>
          </w:cols>
          <w:pgMar w:left="300" w:top="907"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Consolidated Statement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i w:val="1"/>
                <w:iCs w:val="1"/>
                <w:color w:val="auto"/>
              </w:rPr>
              <w:t>Note</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Year Ended 31</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Year ended 31 December</w:t>
            </w:r>
          </w:p>
        </w:tc>
        <w:tc>
          <w:tcPr>
            <w:tcW w:w="0" w:type="dxa"/>
            <w:vAlign w:val="bottom"/>
          </w:tcPr>
          <w:p>
            <w:pPr>
              <w:spacing w:after="0"/>
              <w:rPr>
                <w:sz w:val="1"/>
                <w:szCs w:val="1"/>
                <w:color w:val="auto"/>
              </w:rPr>
            </w:pPr>
          </w:p>
        </w:tc>
      </w:tr>
      <w:tr>
        <w:trPr>
          <w:trHeight w:val="127"/>
        </w:trPr>
        <w:tc>
          <w:tcPr>
            <w:tcW w:w="762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December</w:t>
            </w:r>
          </w:p>
        </w:tc>
        <w:tc>
          <w:tcPr>
            <w:tcW w:w="1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6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14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60"/>
        </w:trPr>
        <w:tc>
          <w:tcPr>
            <w:tcW w:w="7620" w:type="dxa"/>
            <w:vAlign w:val="bottom"/>
            <w:tcBorders>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61"/>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9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331,425</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361,033</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b w:val="1"/>
                <w:bCs w:val="1"/>
                <w:color w:val="auto"/>
              </w:rPr>
              <w:t>Adjustments to reconcile net income to net cash generated from operating activities</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disposal of property, plant and equipment</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141</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12</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18,360</w:t>
            </w:r>
          </w:p>
        </w:tc>
        <w:tc>
          <w:tcPr>
            <w:tcW w:w="1480" w:type="dxa"/>
            <w:vAlign w:val="bottom"/>
          </w:tcPr>
          <w:p>
            <w:pPr>
              <w:jc w:val="right"/>
              <w:spacing w:after="0"/>
              <w:rPr>
                <w:sz w:val="20"/>
                <w:szCs w:val="20"/>
                <w:color w:val="auto"/>
              </w:rPr>
            </w:pPr>
            <w:r>
              <w:rPr>
                <w:rFonts w:ascii="Arial" w:cs="Arial" w:eastAsia="Arial" w:hAnsi="Arial"/>
                <w:sz w:val="13"/>
                <w:szCs w:val="13"/>
                <w:color w:val="auto"/>
              </w:rPr>
              <w:t>19,597</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i w:val="1"/>
                <w:iCs w:val="1"/>
                <w:color w:val="auto"/>
              </w:rPr>
              <w:t>27</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28,947</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31,387</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Impairment of right-of-use assets</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27</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5,411</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Amortisation of intangible assets</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i w:val="1"/>
                <w:iCs w:val="1"/>
                <w:color w:val="auto"/>
              </w:rPr>
              <w:t>13</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47,766</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41,953</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Amortisation of grants</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22</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(45)</w:t>
            </w:r>
          </w:p>
        </w:tc>
        <w:tc>
          <w:tcPr>
            <w:tcW w:w="148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short term investments</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i w:val="1"/>
                <w:iCs w:val="1"/>
                <w:color w:val="auto"/>
              </w:rPr>
              <w:t>18</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Realised gain on sale of current asset investments</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18</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(234)</w:t>
            </w:r>
          </w:p>
        </w:tc>
        <w:tc>
          <w:tcPr>
            <w:tcW w:w="148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equity method investments</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366</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Fair value movement on put option</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25</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(2,540)</w:t>
            </w:r>
          </w:p>
        </w:tc>
        <w:tc>
          <w:tcPr>
            <w:tcW w:w="1480" w:type="dxa"/>
            <w:vAlign w:val="bottom"/>
          </w:tcPr>
          <w:p>
            <w:pPr>
              <w:jc w:val="right"/>
              <w:spacing w:after="0"/>
              <w:rPr>
                <w:sz w:val="20"/>
                <w:szCs w:val="20"/>
                <w:color w:val="auto"/>
              </w:rPr>
            </w:pPr>
            <w:r>
              <w:rPr>
                <w:rFonts w:ascii="Arial" w:cs="Arial" w:eastAsia="Arial" w:hAnsi="Arial"/>
                <w:sz w:val="13"/>
                <w:szCs w:val="13"/>
                <w:color w:val="auto"/>
              </w:rPr>
              <w:t>8,723</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lease liabilities</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i w:val="1"/>
                <w:iCs w:val="1"/>
                <w:color w:val="auto"/>
              </w:rPr>
              <w:t>5</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1,668</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2,626</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(Gain)/loss on re-measurement of long-term financial assets</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18</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(2,500)</w:t>
            </w:r>
          </w:p>
        </w:tc>
        <w:tc>
          <w:tcPr>
            <w:tcW w:w="1480" w:type="dxa"/>
            <w:vAlign w:val="bottom"/>
          </w:tcPr>
          <w:p>
            <w:pPr>
              <w:jc w:val="right"/>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Amortisation of gain on interest rate hedge</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i w:val="1"/>
                <w:iCs w:val="1"/>
                <w:color w:val="auto"/>
              </w:rPr>
              <w:t>5</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(910)</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Amortisation of deferred financing costs</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5</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523</w:t>
            </w:r>
          </w:p>
        </w:tc>
        <w:tc>
          <w:tcPr>
            <w:tcW w:w="1480" w:type="dxa"/>
            <w:vAlign w:val="bottom"/>
          </w:tcPr>
          <w:p>
            <w:pPr>
              <w:jc w:val="right"/>
              <w:spacing w:after="0"/>
              <w:rPr>
                <w:sz w:val="20"/>
                <w:szCs w:val="20"/>
                <w:color w:val="auto"/>
              </w:rPr>
            </w:pPr>
            <w:r>
              <w:rPr>
                <w:rFonts w:ascii="Arial" w:cs="Arial" w:eastAsia="Arial" w:hAnsi="Arial"/>
                <w:sz w:val="13"/>
                <w:szCs w:val="13"/>
                <w:color w:val="auto"/>
              </w:rPr>
              <w:t>540</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i w:val="1"/>
                <w:iCs w:val="1"/>
                <w:color w:val="auto"/>
              </w:rPr>
              <w:t>11</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26,597</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25,886</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Financing income</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4</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(2,724)</w:t>
            </w:r>
          </w:p>
        </w:tc>
        <w:tc>
          <w:tcPr>
            <w:tcW w:w="1480" w:type="dxa"/>
            <w:vAlign w:val="bottom"/>
          </w:tcPr>
          <w:p>
            <w:pPr>
              <w:jc w:val="right"/>
              <w:spacing w:after="0"/>
              <w:rPr>
                <w:sz w:val="20"/>
                <w:szCs w:val="20"/>
                <w:color w:val="auto"/>
              </w:rPr>
            </w:pPr>
            <w:r>
              <w:rPr>
                <w:rFonts w:ascii="Arial" w:cs="Arial" w:eastAsia="Arial" w:hAnsi="Arial"/>
                <w:sz w:val="13"/>
                <w:szCs w:val="13"/>
                <w:color w:val="auto"/>
              </w:rPr>
              <w:t>(6,859)</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Financing expense</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i w:val="1"/>
                <w:iCs w:val="1"/>
                <w:color w:val="auto"/>
              </w:rPr>
              <w:t>5</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13,406</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13,659</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Defined benefit pension service costs</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10</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239</w:t>
            </w:r>
          </w:p>
        </w:tc>
        <w:tc>
          <w:tcPr>
            <w:tcW w:w="1480" w:type="dxa"/>
            <w:vAlign w:val="bottom"/>
          </w:tcPr>
          <w:p>
            <w:pPr>
              <w:jc w:val="right"/>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Defined benefit pension finance costs</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3"/>
                <w:szCs w:val="13"/>
                <w:i w:val="1"/>
                <w:iCs w:val="1"/>
                <w:color w:val="auto"/>
              </w:rPr>
              <w:t>10</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105</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Defined benefit past service cost</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10</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(23)</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9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i w:val="1"/>
                <w:iCs w:val="1"/>
                <w:color w:val="auto"/>
              </w:rPr>
              <w:t>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50,753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57,332</w:t>
            </w:r>
          </w:p>
        </w:tc>
        <w:tc>
          <w:tcPr>
            <w:tcW w:w="0" w:type="dxa"/>
            <w:vAlign w:val="bottom"/>
          </w:tcPr>
          <w:p>
            <w:pPr>
              <w:spacing w:after="0"/>
              <w:rPr>
                <w:sz w:val="1"/>
                <w:szCs w:val="1"/>
                <w:color w:val="auto"/>
              </w:rPr>
            </w:pPr>
          </w:p>
        </w:tc>
      </w:tr>
      <w:tr>
        <w:trPr>
          <w:trHeight w:val="160"/>
        </w:trPr>
        <w:tc>
          <w:tcPr>
            <w:tcW w:w="7620" w:type="dxa"/>
            <w:vAlign w:val="bottom"/>
          </w:tcPr>
          <w:p>
            <w:pPr>
              <w:ind w:left="20"/>
              <w:spacing w:after="0"/>
              <w:rPr>
                <w:sz w:val="20"/>
                <w:szCs w:val="20"/>
                <w:color w:val="auto"/>
              </w:rPr>
            </w:pPr>
            <w:r>
              <w:rPr>
                <w:rFonts w:ascii="Arial" w:cs="Arial" w:eastAsia="Arial" w:hAnsi="Arial"/>
                <w:sz w:val="13"/>
                <w:szCs w:val="13"/>
                <w:b w:val="1"/>
                <w:bCs w:val="1"/>
                <w:color w:val="auto"/>
              </w:rPr>
              <w:t>Operating cash inflow before changes in working capital</w:t>
            </w:r>
          </w:p>
        </w:tc>
        <w:tc>
          <w:tcPr>
            <w:tcW w:w="9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516,731</w:t>
            </w:r>
          </w:p>
        </w:tc>
        <w:tc>
          <w:tcPr>
            <w:tcW w:w="1480" w:type="dxa"/>
            <w:vAlign w:val="bottom"/>
          </w:tcPr>
          <w:p>
            <w:pPr>
              <w:jc w:val="right"/>
              <w:spacing w:after="0"/>
              <w:rPr>
                <w:sz w:val="20"/>
                <w:szCs w:val="20"/>
                <w:color w:val="auto"/>
              </w:rPr>
            </w:pPr>
            <w:r>
              <w:rPr>
                <w:rFonts w:ascii="Arial" w:cs="Arial" w:eastAsia="Arial" w:hAnsi="Arial"/>
                <w:sz w:val="13"/>
                <w:szCs w:val="13"/>
                <w:color w:val="auto"/>
              </w:rPr>
              <w:t>555,240</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accounts receivable</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(175,040)</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(101,545)</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Increase in unbilled revenue</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(5,748)</w:t>
            </w:r>
          </w:p>
        </w:tc>
        <w:tc>
          <w:tcPr>
            <w:tcW w:w="1480" w:type="dxa"/>
            <w:vAlign w:val="bottom"/>
          </w:tcPr>
          <w:p>
            <w:pPr>
              <w:jc w:val="right"/>
              <w:spacing w:after="0"/>
              <w:rPr>
                <w:sz w:val="20"/>
                <w:szCs w:val="20"/>
                <w:color w:val="auto"/>
              </w:rPr>
            </w:pPr>
            <w:r>
              <w:rPr>
                <w:rFonts w:ascii="Arial" w:cs="Arial" w:eastAsia="Arial" w:hAnsi="Arial"/>
                <w:sz w:val="13"/>
                <w:szCs w:val="13"/>
                <w:color w:val="auto"/>
              </w:rPr>
              <w:t>(55,790)</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other current assets</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(6,669)</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Increase in other non current assets</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(3,225)</w:t>
            </w:r>
          </w:p>
        </w:tc>
        <w:tc>
          <w:tcPr>
            <w:tcW w:w="1480" w:type="dxa"/>
            <w:vAlign w:val="bottom"/>
          </w:tcPr>
          <w:p>
            <w:pPr>
              <w:jc w:val="right"/>
              <w:spacing w:after="0"/>
              <w:rPr>
                <w:sz w:val="20"/>
                <w:szCs w:val="20"/>
                <w:color w:val="auto"/>
              </w:rPr>
            </w:pPr>
            <w:r>
              <w:rPr>
                <w:rFonts w:ascii="Arial" w:cs="Arial" w:eastAsia="Arial" w:hAnsi="Arial"/>
                <w:sz w:val="13"/>
                <w:szCs w:val="13"/>
                <w:color w:val="auto"/>
              </w:rPr>
              <w:t>(2,912)</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inventory</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(1,626)</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Increase in accounts payable</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26,488</w:t>
            </w:r>
          </w:p>
        </w:tc>
        <w:tc>
          <w:tcPr>
            <w:tcW w:w="1480" w:type="dxa"/>
            <w:vAlign w:val="bottom"/>
          </w:tcPr>
          <w:p>
            <w:pPr>
              <w:jc w:val="right"/>
              <w:spacing w:after="0"/>
              <w:rPr>
                <w:sz w:val="20"/>
                <w:szCs w:val="20"/>
                <w:color w:val="auto"/>
              </w:rPr>
            </w:pPr>
            <w:r>
              <w:rPr>
                <w:rFonts w:ascii="Arial" w:cs="Arial" w:eastAsia="Arial" w:hAnsi="Arial"/>
                <w:sz w:val="13"/>
                <w:szCs w:val="13"/>
                <w:color w:val="auto"/>
              </w:rPr>
              <w:t>3,440</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unearned revenue</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291,844</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86,567</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Decrease in accrued and other liabilities and provisions</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(11,662)</w:t>
            </w:r>
          </w:p>
        </w:tc>
        <w:tc>
          <w:tcPr>
            <w:tcW w:w="1480" w:type="dxa"/>
            <w:vAlign w:val="bottom"/>
          </w:tcPr>
          <w:p>
            <w:pPr>
              <w:jc w:val="right"/>
              <w:spacing w:after="0"/>
              <w:rPr>
                <w:sz w:val="20"/>
                <w:szCs w:val="20"/>
                <w:color w:val="auto"/>
              </w:rPr>
            </w:pPr>
            <w:r>
              <w:rPr>
                <w:rFonts w:ascii="Arial" w:cs="Arial" w:eastAsia="Arial" w:hAnsi="Arial"/>
                <w:sz w:val="13"/>
                <w:szCs w:val="13"/>
                <w:color w:val="auto"/>
              </w:rPr>
              <w:t>(9,642)</w:t>
            </w:r>
          </w:p>
        </w:tc>
        <w:tc>
          <w:tcPr>
            <w:tcW w:w="0" w:type="dxa"/>
            <w:vAlign w:val="bottom"/>
          </w:tcPr>
          <w:p>
            <w:pPr>
              <w:spacing w:after="0"/>
              <w:rPr>
                <w:sz w:val="1"/>
                <w:szCs w:val="1"/>
                <w:color w:val="auto"/>
              </w:rPr>
            </w:pPr>
          </w:p>
        </w:tc>
      </w:tr>
      <w:tr>
        <w:trPr>
          <w:trHeight w:val="17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 in non current other liabilities and provisions</w:t>
            </w:r>
          </w:p>
        </w:tc>
        <w:tc>
          <w:tcPr>
            <w:tcW w:w="9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0" w:type="dxa"/>
            <w:vAlign w:val="bottom"/>
          </w:tcPr>
          <w:p>
            <w:pPr>
              <w:spacing w:after="0"/>
              <w:rPr>
                <w:sz w:val="1"/>
                <w:szCs w:val="1"/>
                <w:color w:val="auto"/>
              </w:rPr>
            </w:pPr>
          </w:p>
        </w:tc>
      </w:tr>
      <w:tr>
        <w:trPr>
          <w:trHeight w:val="16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provided by operations</w:t>
            </w:r>
          </w:p>
        </w:tc>
        <w:tc>
          <w:tcPr>
            <w:tcW w:w="9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631,441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475,268</w:t>
            </w:r>
          </w:p>
        </w:tc>
        <w:tc>
          <w:tcPr>
            <w:tcW w:w="0" w:type="dxa"/>
            <w:vAlign w:val="bottom"/>
          </w:tcPr>
          <w:p>
            <w:pPr>
              <w:spacing w:after="0"/>
              <w:rPr>
                <w:sz w:val="1"/>
                <w:szCs w:val="1"/>
                <w:color w:val="auto"/>
              </w:rPr>
            </w:pPr>
          </w:p>
        </w:tc>
      </w:tr>
      <w:tr>
        <w:trPr>
          <w:trHeight w:val="161"/>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paid</w:t>
            </w:r>
          </w:p>
        </w:tc>
        <w:tc>
          <w:tcPr>
            <w:tcW w:w="9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(27,604)</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(29,836)</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Employer contribution defined benefit pension scheme</w:t>
            </w:r>
          </w:p>
        </w:tc>
        <w:tc>
          <w:tcPr>
            <w:tcW w:w="980" w:type="dxa"/>
            <w:vAlign w:val="bottom"/>
          </w:tcPr>
          <w:p>
            <w:pPr>
              <w:jc w:val="right"/>
              <w:ind w:right="256"/>
              <w:spacing w:after="0"/>
              <w:rPr>
                <w:sz w:val="20"/>
                <w:szCs w:val="20"/>
                <w:color w:val="auto"/>
              </w:rPr>
            </w:pPr>
            <w:r>
              <w:rPr>
                <w:rFonts w:ascii="Arial" w:cs="Arial" w:eastAsia="Arial" w:hAnsi="Arial"/>
                <w:sz w:val="13"/>
                <w:szCs w:val="13"/>
                <w:i w:val="1"/>
                <w:iCs w:val="1"/>
                <w:color w:val="auto"/>
              </w:rPr>
              <w:t>10</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(214)</w:t>
            </w:r>
          </w:p>
        </w:tc>
        <w:tc>
          <w:tcPr>
            <w:tcW w:w="1480" w:type="dxa"/>
            <w:vAlign w:val="bottom"/>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received</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2,495</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6,796</w:t>
            </w:r>
          </w:p>
        </w:tc>
        <w:tc>
          <w:tcPr>
            <w:tcW w:w="0" w:type="dxa"/>
            <w:vAlign w:val="bottom"/>
          </w:tcPr>
          <w:p>
            <w:pPr>
              <w:spacing w:after="0"/>
              <w:rPr>
                <w:sz w:val="1"/>
                <w:szCs w:val="1"/>
                <w:color w:val="auto"/>
              </w:rPr>
            </w:pPr>
          </w:p>
        </w:tc>
      </w:tr>
      <w:tr>
        <w:trPr>
          <w:trHeight w:val="16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paid</w:t>
            </w:r>
          </w:p>
        </w:tc>
        <w:tc>
          <w:tcPr>
            <w:tcW w:w="9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(11,394)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(13,059)</w:t>
            </w:r>
          </w:p>
        </w:tc>
        <w:tc>
          <w:tcPr>
            <w:tcW w:w="0" w:type="dxa"/>
            <w:vAlign w:val="bottom"/>
          </w:tcPr>
          <w:p>
            <w:pPr>
              <w:spacing w:after="0"/>
              <w:rPr>
                <w:sz w:val="1"/>
                <w:szCs w:val="1"/>
                <w:color w:val="auto"/>
              </w:rPr>
            </w:pPr>
          </w:p>
        </w:tc>
      </w:tr>
      <w:tr>
        <w:trPr>
          <w:trHeight w:val="16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inflow from operating activities</w:t>
            </w:r>
          </w:p>
        </w:tc>
        <w:tc>
          <w:tcPr>
            <w:tcW w:w="9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594,724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438,932</w:t>
            </w:r>
          </w:p>
        </w:tc>
        <w:tc>
          <w:tcPr>
            <w:tcW w:w="0" w:type="dxa"/>
            <w:vAlign w:val="bottom"/>
          </w:tcPr>
          <w:p>
            <w:pPr>
              <w:spacing w:after="0"/>
              <w:rPr>
                <w:sz w:val="1"/>
                <w:szCs w:val="1"/>
                <w:color w:val="auto"/>
              </w:rPr>
            </w:pPr>
          </w:p>
        </w:tc>
      </w:tr>
      <w:tr>
        <w:trPr>
          <w:trHeight w:val="160"/>
        </w:trPr>
        <w:tc>
          <w:tcPr>
            <w:tcW w:w="762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plant and equipment</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(19,308)</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(19,330)</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Purchase of intangible assets</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(31,747)</w:t>
            </w:r>
          </w:p>
        </w:tc>
        <w:tc>
          <w:tcPr>
            <w:tcW w:w="1480" w:type="dxa"/>
            <w:vAlign w:val="bottom"/>
          </w:tcPr>
          <w:p>
            <w:pPr>
              <w:jc w:val="right"/>
              <w:spacing w:after="0"/>
              <w:rPr>
                <w:sz w:val="20"/>
                <w:szCs w:val="20"/>
                <w:color w:val="auto"/>
              </w:rPr>
            </w:pPr>
            <w:r>
              <w:rPr>
                <w:rFonts w:ascii="Arial" w:cs="Arial" w:eastAsia="Arial" w:hAnsi="Arial"/>
                <w:sz w:val="13"/>
                <w:szCs w:val="13"/>
                <w:color w:val="auto"/>
              </w:rPr>
              <w:t>(31,315)</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subsidiary undertakings</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(47,931)</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(131,272)</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Cash acquired with subsidiary undertakings</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10,170</w:t>
            </w:r>
          </w:p>
        </w:tc>
        <w:tc>
          <w:tcPr>
            <w:tcW w:w="1480" w:type="dxa"/>
            <w:vAlign w:val="bottom"/>
          </w:tcPr>
          <w:p>
            <w:pPr>
              <w:jc w:val="right"/>
              <w:spacing w:after="0"/>
              <w:rPr>
                <w:sz w:val="20"/>
                <w:szCs w:val="20"/>
                <w:color w:val="auto"/>
              </w:rPr>
            </w:pPr>
            <w:r>
              <w:rPr>
                <w:rFonts w:ascii="Arial" w:cs="Arial" w:eastAsia="Arial" w:hAnsi="Arial"/>
                <w:sz w:val="13"/>
                <w:szCs w:val="13"/>
                <w:color w:val="auto"/>
              </w:rPr>
              <w:t>11,697</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in equity method investments</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(2,450)</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Sale/maturity of current asset investments</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47,902</w:t>
            </w:r>
          </w:p>
        </w:tc>
        <w:tc>
          <w:tcPr>
            <w:tcW w:w="1480" w:type="dxa"/>
            <w:vAlign w:val="bottom"/>
          </w:tcPr>
          <w:p>
            <w:pPr>
              <w:jc w:val="right"/>
              <w:spacing w:after="0"/>
              <w:rPr>
                <w:sz w:val="20"/>
                <w:szCs w:val="20"/>
                <w:color w:val="auto"/>
              </w:rPr>
            </w:pPr>
            <w:r>
              <w:rPr>
                <w:rFonts w:ascii="Arial" w:cs="Arial" w:eastAsia="Arial" w:hAnsi="Arial"/>
                <w:sz w:val="13"/>
                <w:szCs w:val="13"/>
                <w:color w:val="auto"/>
              </w:rPr>
              <w:t>21,686</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current asset investments</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(9,603)</w:t>
            </w:r>
          </w:p>
        </w:tc>
        <w:tc>
          <w:tcPr>
            <w:tcW w:w="0" w:type="dxa"/>
            <w:vAlign w:val="bottom"/>
          </w:tcPr>
          <w:p>
            <w:pPr>
              <w:spacing w:after="0"/>
              <w:rPr>
                <w:sz w:val="1"/>
                <w:szCs w:val="1"/>
                <w:color w:val="auto"/>
              </w:rPr>
            </w:pPr>
          </w:p>
        </w:tc>
      </w:tr>
      <w:tr>
        <w:trPr>
          <w:trHeight w:val="16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Purchase of investments in equity - long-term</w:t>
            </w:r>
          </w:p>
        </w:tc>
        <w:tc>
          <w:tcPr>
            <w:tcW w:w="9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(3,212)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(3,890)</w:t>
            </w:r>
          </w:p>
        </w:tc>
        <w:tc>
          <w:tcPr>
            <w:tcW w:w="0" w:type="dxa"/>
            <w:vAlign w:val="bottom"/>
          </w:tcPr>
          <w:p>
            <w:pPr>
              <w:spacing w:after="0"/>
              <w:rPr>
                <w:sz w:val="1"/>
                <w:szCs w:val="1"/>
                <w:color w:val="auto"/>
              </w:rPr>
            </w:pPr>
          </w:p>
        </w:tc>
      </w:tr>
      <w:tr>
        <w:trPr>
          <w:trHeight w:val="16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9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(46,576)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(162,027)</w:t>
            </w:r>
          </w:p>
        </w:tc>
        <w:tc>
          <w:tcPr>
            <w:tcW w:w="0" w:type="dxa"/>
            <w:vAlign w:val="bottom"/>
          </w:tcPr>
          <w:p>
            <w:pPr>
              <w:spacing w:after="0"/>
              <w:rPr>
                <w:sz w:val="1"/>
                <w:szCs w:val="1"/>
                <w:color w:val="auto"/>
              </w:rPr>
            </w:pPr>
          </w:p>
        </w:tc>
      </w:tr>
      <w:tr>
        <w:trPr>
          <w:trHeight w:val="160"/>
        </w:trPr>
        <w:tc>
          <w:tcPr>
            <w:tcW w:w="762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Financing costs</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(1,554)</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Drawdown of bank credit lines and loan facilities</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350,000</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bank credit lines and loan facilities</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(350,000)</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Purchase of noncontrolling interest</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(43,923)</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lease liabilities</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(30,504)</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(33,437)</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Tax benefit from the exercise of share options</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3,815</w:t>
            </w:r>
          </w:p>
        </w:tc>
        <w:tc>
          <w:tcPr>
            <w:tcW w:w="1480" w:type="dxa"/>
            <w:vAlign w:val="bottom"/>
          </w:tcPr>
          <w:p>
            <w:pPr>
              <w:jc w:val="right"/>
              <w:spacing w:after="0"/>
              <w:rPr>
                <w:sz w:val="20"/>
                <w:szCs w:val="20"/>
                <w:color w:val="auto"/>
              </w:rPr>
            </w:pPr>
            <w:r>
              <w:rPr>
                <w:rFonts w:ascii="Arial" w:cs="Arial" w:eastAsia="Arial" w:hAnsi="Arial"/>
                <w:sz w:val="13"/>
                <w:szCs w:val="13"/>
                <w:color w:val="auto"/>
              </w:rPr>
              <w:t>7,046</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exercise of share options, RSUs and PSUs</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13,203</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21,645</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Share issuance costs</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(14)</w:t>
            </w:r>
          </w:p>
        </w:tc>
        <w:tc>
          <w:tcPr>
            <w:tcW w:w="148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ordinary shares</w:t>
            </w:r>
          </w:p>
        </w:tc>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(175,000)</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(146,931)</w:t>
            </w:r>
          </w:p>
        </w:tc>
        <w:tc>
          <w:tcPr>
            <w:tcW w:w="0" w:type="dxa"/>
            <w:vAlign w:val="bottom"/>
          </w:tcPr>
          <w:p>
            <w:pPr>
              <w:spacing w:after="0"/>
              <w:rPr>
                <w:sz w:val="1"/>
                <w:szCs w:val="1"/>
                <w:color w:val="auto"/>
              </w:rPr>
            </w:pPr>
          </w:p>
        </w:tc>
      </w:tr>
      <w:tr>
        <w:trPr>
          <w:trHeight w:val="169"/>
        </w:trPr>
        <w:tc>
          <w:tcPr>
            <w:tcW w:w="7620" w:type="dxa"/>
            <w:vAlign w:val="bottom"/>
          </w:tcPr>
          <w:p>
            <w:pPr>
              <w:ind w:left="20"/>
              <w:spacing w:after="0"/>
              <w:rPr>
                <w:sz w:val="20"/>
                <w:szCs w:val="20"/>
                <w:color w:val="auto"/>
              </w:rPr>
            </w:pPr>
            <w:r>
              <w:rPr>
                <w:rFonts w:ascii="Arial" w:cs="Arial" w:eastAsia="Arial" w:hAnsi="Arial"/>
                <w:sz w:val="13"/>
                <w:szCs w:val="13"/>
                <w:color w:val="auto"/>
              </w:rPr>
              <w:t>Share repurchase costs</w:t>
            </w:r>
          </w:p>
        </w:tc>
        <w:tc>
          <w:tcPr>
            <w:tcW w:w="9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(140)</w:t>
            </w:r>
          </w:p>
        </w:tc>
        <w:tc>
          <w:tcPr>
            <w:tcW w:w="148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Loss on settlement of interest rate hedge</w:t>
            </w:r>
          </w:p>
        </w:tc>
        <w:tc>
          <w:tcPr>
            <w:tcW w:w="9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7620" w:type="dxa"/>
            <w:vAlign w:val="bottom"/>
          </w:tcPr>
          <w:p>
            <w:pPr>
              <w:ind w:left="20"/>
              <w:spacing w:after="0"/>
              <w:rPr>
                <w:sz w:val="20"/>
                <w:szCs w:val="20"/>
                <w:color w:val="auto"/>
              </w:rPr>
            </w:pPr>
            <w:r>
              <w:rPr>
                <w:rFonts w:ascii="Arial" w:cs="Arial" w:eastAsia="Arial" w:hAnsi="Arial"/>
                <w:sz w:val="13"/>
                <w:szCs w:val="13"/>
                <w:b w:val="1"/>
                <w:bCs w:val="1"/>
                <w:color w:val="auto"/>
              </w:rPr>
              <w:t>Net cash used in financing activities</w:t>
            </w:r>
          </w:p>
        </w:tc>
        <w:tc>
          <w:tcPr>
            <w:tcW w:w="9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(235,022)</w:t>
            </w:r>
          </w:p>
        </w:tc>
        <w:tc>
          <w:tcPr>
            <w:tcW w:w="1480" w:type="dxa"/>
            <w:vAlign w:val="bottom"/>
          </w:tcPr>
          <w:p>
            <w:pPr>
              <w:jc w:val="right"/>
              <w:spacing w:after="0"/>
              <w:rPr>
                <w:sz w:val="20"/>
                <w:szCs w:val="20"/>
                <w:color w:val="auto"/>
              </w:rPr>
            </w:pPr>
            <w:r>
              <w:rPr>
                <w:rFonts w:ascii="Arial" w:cs="Arial" w:eastAsia="Arial" w:hAnsi="Arial"/>
                <w:sz w:val="13"/>
                <w:szCs w:val="13"/>
                <w:color w:val="auto"/>
              </w:rPr>
              <w:t>(151,797)</w:t>
            </w:r>
          </w:p>
        </w:tc>
        <w:tc>
          <w:tcPr>
            <w:tcW w:w="0" w:type="dxa"/>
            <w:vAlign w:val="bottom"/>
          </w:tcPr>
          <w:p>
            <w:pPr>
              <w:spacing w:after="0"/>
              <w:rPr>
                <w:sz w:val="1"/>
                <w:szCs w:val="1"/>
                <w:color w:val="auto"/>
              </w:rPr>
            </w:pPr>
          </w:p>
        </w:tc>
      </w:tr>
      <w:tr>
        <w:trPr>
          <w:trHeight w:val="17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increase in cash and cash equivalents</w:t>
            </w:r>
          </w:p>
        </w:tc>
        <w:tc>
          <w:tcPr>
            <w:tcW w:w="9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313,126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125,108</w:t>
            </w:r>
          </w:p>
        </w:tc>
        <w:tc>
          <w:tcPr>
            <w:tcW w:w="0" w:type="dxa"/>
            <w:vAlign w:val="bottom"/>
          </w:tcPr>
          <w:p>
            <w:pPr>
              <w:spacing w:after="0"/>
              <w:rPr>
                <w:sz w:val="1"/>
                <w:szCs w:val="1"/>
                <w:color w:val="auto"/>
              </w:rPr>
            </w:pPr>
          </w:p>
        </w:tc>
      </w:tr>
      <w:tr>
        <w:trPr>
          <w:trHeight w:val="160"/>
        </w:trPr>
        <w:tc>
          <w:tcPr>
            <w:tcW w:w="7620" w:type="dxa"/>
            <w:vAlign w:val="bottom"/>
          </w:tcPr>
          <w:p>
            <w:pPr>
              <w:ind w:left="20"/>
              <w:spacing w:after="0"/>
              <w:rPr>
                <w:sz w:val="20"/>
                <w:szCs w:val="20"/>
                <w:color w:val="auto"/>
              </w:rPr>
            </w:pPr>
            <w:r>
              <w:rPr>
                <w:rFonts w:ascii="Arial" w:cs="Arial" w:eastAsia="Arial" w:hAnsi="Arial"/>
                <w:sz w:val="13"/>
                <w:szCs w:val="13"/>
                <w:color w:val="auto"/>
              </w:rPr>
              <w:t>Effect of exchange rate changes</w:t>
            </w:r>
          </w:p>
        </w:tc>
        <w:tc>
          <w:tcPr>
            <w:tcW w:w="9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6,870</w:t>
            </w:r>
          </w:p>
        </w:tc>
        <w:tc>
          <w:tcPr>
            <w:tcW w:w="1480" w:type="dxa"/>
            <w:vAlign w:val="bottom"/>
          </w:tcPr>
          <w:p>
            <w:pPr>
              <w:jc w:val="right"/>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7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9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520,309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395,851</w:t>
            </w:r>
          </w:p>
        </w:tc>
        <w:tc>
          <w:tcPr>
            <w:tcW w:w="0" w:type="dxa"/>
            <w:vAlign w:val="bottom"/>
          </w:tcPr>
          <w:p>
            <w:pPr>
              <w:spacing w:after="0"/>
              <w:rPr>
                <w:sz w:val="1"/>
                <w:szCs w:val="1"/>
                <w:color w:val="auto"/>
              </w:rPr>
            </w:pPr>
          </w:p>
        </w:tc>
      </w:tr>
      <w:tr>
        <w:trPr>
          <w:trHeight w:val="162"/>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9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840,305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520,309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716" w:right="31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716" w:right="3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compliance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2020, and with those parts of the Companies Act 2014 applicable to companies reporting under IFRS. The Company Financial Statements have been prepared in accordance with IFRS as adopted by the EU, as applied in accordance with the Companies Act 2014 applicable to companies reporting under IFRS. IFRS adopted by the EU differs in certain respects from IFRS issued by the IASB. Reference to the IFRS hereafter refers to IFRS adopted by the EU. A Company that publishes its Group and Company Financial Statements together, can take advantage of the exemption in Section 304 of the Companies Act 2014 from presenting to its members a Company Statement of Profit and Loss and Company Statement of Comprehensive Income and related notes.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preparation</w:t>
      </w:r>
    </w:p>
    <w:p>
      <w:pPr>
        <w:spacing w:after="0" w:line="179"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auto"/>
        </w:rPr>
        <w:t>The Group and Company Financial Statements are presented in United States dollars ("U.S. dollars") and all values are rounded to the nearest thousand ($‘000), except where otherwise indicated. They are prepared on the historical cost basis, except for the measurement at fair value on date of grant of share options, the pension plan assets, the put/call options over noncontrolling interest, other investments and financial assets. Other than the new and amended standards adopted by the group, accounting policies are applied consistently with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and amended standards adopted by the group</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The Group has applied the following standards and amendments for the first time for the annual reporting period commencing 1 January 2020:</w:t>
      </w:r>
    </w:p>
    <w:p>
      <w:pPr>
        <w:spacing w:after="0" w:line="167" w:lineRule="exact"/>
        <w:rPr>
          <w:sz w:val="20"/>
          <w:szCs w:val="20"/>
          <w:color w:val="auto"/>
        </w:rPr>
      </w:pPr>
    </w:p>
    <w:p>
      <w:pPr>
        <w:ind w:left="520" w:hanging="26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Amendments to IFRS 16 </w:t>
      </w:r>
      <w:r>
        <w:rPr>
          <w:rFonts w:ascii="Arial" w:cs="Arial" w:eastAsia="Arial" w:hAnsi="Arial"/>
          <w:sz w:val="13"/>
          <w:szCs w:val="13"/>
          <w:i w:val="1"/>
          <w:iCs w:val="1"/>
          <w:color w:val="auto"/>
        </w:rPr>
        <w:t>Leases: COVID 19 Related Rent Concessions</w:t>
      </w:r>
    </w:p>
    <w:p>
      <w:pPr>
        <w:ind w:left="520" w:hanging="260"/>
        <w:spacing w:after="0" w:line="221" w:lineRule="auto"/>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Amendments to IFRS 3 </w:t>
      </w:r>
      <w:r>
        <w:rPr>
          <w:rFonts w:ascii="Arial" w:cs="Arial" w:eastAsia="Arial" w:hAnsi="Arial"/>
          <w:sz w:val="13"/>
          <w:szCs w:val="13"/>
          <w:i w:val="1"/>
          <w:iCs w:val="1"/>
          <w:color w:val="auto"/>
        </w:rPr>
        <w:t>Business Combinations: Definition of a Business</w:t>
      </w:r>
    </w:p>
    <w:p>
      <w:pPr>
        <w:ind w:left="500" w:hanging="240"/>
        <w:spacing w:after="0" w:line="221" w:lineRule="auto"/>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Amendments to IAS 1 and IAS 8 </w:t>
      </w:r>
      <w:r>
        <w:rPr>
          <w:rFonts w:ascii="Arial" w:cs="Arial" w:eastAsia="Arial" w:hAnsi="Arial"/>
          <w:sz w:val="13"/>
          <w:szCs w:val="13"/>
          <w:i w:val="1"/>
          <w:iCs w:val="1"/>
          <w:color w:val="auto"/>
        </w:rPr>
        <w:t>Definition of material</w:t>
      </w:r>
    </w:p>
    <w:p>
      <w:pPr>
        <w:ind w:left="520" w:hanging="260"/>
        <w:spacing w:after="0" w:line="221" w:lineRule="auto"/>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Amendments to IFRS 9, IAS 39 and IFRS 7 </w:t>
      </w:r>
      <w:r>
        <w:rPr>
          <w:rFonts w:ascii="Arial" w:cs="Arial" w:eastAsia="Arial" w:hAnsi="Arial"/>
          <w:sz w:val="13"/>
          <w:szCs w:val="13"/>
          <w:i w:val="1"/>
          <w:iCs w:val="1"/>
          <w:color w:val="auto"/>
        </w:rPr>
        <w:t>IBOR Reform Phase I</w:t>
      </w:r>
    </w:p>
    <w:p>
      <w:pPr>
        <w:ind w:left="520" w:hanging="26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Conceptual Framework Amendments to References to the Conceptual Framework in IFRS Standards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amendments listed above did not have a material impact on amounts recognised in prior periods or the current period. See accounting policies section below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and amended standards and interpretations effective after 2020</w:t>
      </w:r>
    </w:p>
    <w:p>
      <w:pPr>
        <w:spacing w:after="0" w:line="195" w:lineRule="exact"/>
        <w:rPr>
          <w:sz w:val="20"/>
          <w:szCs w:val="20"/>
          <w:color w:val="auto"/>
        </w:rPr>
      </w:pPr>
    </w:p>
    <w:p>
      <w:pPr>
        <w:spacing w:after="0" w:line="221" w:lineRule="auto"/>
        <w:rPr>
          <w:sz w:val="20"/>
          <w:szCs w:val="20"/>
          <w:color w:val="auto"/>
        </w:rPr>
      </w:pPr>
      <w:r>
        <w:rPr>
          <w:rFonts w:ascii="Arial" w:cs="Arial" w:eastAsia="Arial" w:hAnsi="Arial"/>
          <w:sz w:val="13"/>
          <w:szCs w:val="13"/>
          <w:color w:val="auto"/>
        </w:rPr>
        <w:t>Certain new accounting standards and interpretations applicable to the Group have been published that are not mandatory for 31 December 2020 reporting periods and have not been early adopted by the Group.</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These include the following:</w:t>
      </w:r>
    </w:p>
    <w:p>
      <w:pPr>
        <w:spacing w:after="0" w:line="167"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Amendments to IFRS 9, IAS 39 and IFRS 7 </w:t>
      </w:r>
      <w:r>
        <w:rPr>
          <w:rFonts w:ascii="Arial" w:cs="Arial" w:eastAsia="Arial" w:hAnsi="Arial"/>
          <w:sz w:val="13"/>
          <w:szCs w:val="13"/>
          <w:i w:val="1"/>
          <w:iCs w:val="1"/>
          <w:color w:val="auto"/>
        </w:rPr>
        <w:t>IBOR Reform Phase II</w:t>
      </w:r>
    </w:p>
    <w:p>
      <w:pPr>
        <w:ind w:left="520" w:hanging="260"/>
        <w:spacing w:after="0" w:line="221" w:lineRule="auto"/>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Annual Improvements to IFRS Standards 2018-2020</w:t>
      </w:r>
    </w:p>
    <w:p>
      <w:pPr>
        <w:ind w:left="500" w:hanging="240"/>
        <w:spacing w:after="0" w:line="221" w:lineRule="auto"/>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Amendments to IAS 16 </w:t>
      </w:r>
      <w:r>
        <w:rPr>
          <w:rFonts w:ascii="Arial" w:cs="Arial" w:eastAsia="Arial" w:hAnsi="Arial"/>
          <w:sz w:val="13"/>
          <w:szCs w:val="13"/>
          <w:i w:val="1"/>
          <w:iCs w:val="1"/>
          <w:color w:val="auto"/>
        </w:rPr>
        <w:t>Property, Plant and Equipment (PPE): Proceeds before Intended Use</w:t>
      </w:r>
    </w:p>
    <w:p>
      <w:pPr>
        <w:ind w:left="520" w:hanging="260"/>
        <w:spacing w:after="0" w:line="221" w:lineRule="auto"/>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Amendments to IAS 37 </w:t>
      </w:r>
      <w:r>
        <w:rPr>
          <w:rFonts w:ascii="Arial" w:cs="Arial" w:eastAsia="Arial" w:hAnsi="Arial"/>
          <w:sz w:val="13"/>
          <w:szCs w:val="13"/>
          <w:i w:val="1"/>
          <w:iCs w:val="1"/>
          <w:color w:val="auto"/>
        </w:rPr>
        <w:t>Provisions, Contingent Liabilities and Contingent Assets: Costs to Fulfil a Contract</w:t>
      </w:r>
    </w:p>
    <w:p>
      <w:pPr>
        <w:ind w:left="520" w:hanging="260"/>
        <w:spacing w:after="0" w:line="221" w:lineRule="auto"/>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Conceptual Framework Amendments </w:t>
      </w:r>
      <w:r>
        <w:rPr>
          <w:rFonts w:ascii="Arial" w:cs="Arial" w:eastAsia="Arial" w:hAnsi="Arial"/>
          <w:sz w:val="13"/>
          <w:szCs w:val="13"/>
          <w:i w:val="1"/>
          <w:iCs w:val="1"/>
          <w:color w:val="auto"/>
        </w:rPr>
        <w:t>References to the Conceptual Framework</w:t>
      </w:r>
    </w:p>
    <w:p>
      <w:pPr>
        <w:ind w:left="520" w:hanging="26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Amendments to IAS 1 </w:t>
      </w:r>
      <w:r>
        <w:rPr>
          <w:rFonts w:ascii="Arial" w:cs="Arial" w:eastAsia="Arial" w:hAnsi="Arial"/>
          <w:sz w:val="13"/>
          <w:szCs w:val="13"/>
          <w:i w:val="1"/>
          <w:iCs w:val="1"/>
          <w:color w:val="auto"/>
        </w:rPr>
        <w:t>Classification of Liabilities as Current or Non-current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directors do not expect that the adoption of the Standards listed above will have a material impact on the financial statements of the Group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judgements and key sources of estimation uncertainty</w:t>
      </w:r>
    </w:p>
    <w:p>
      <w:pPr>
        <w:spacing w:after="0" w:line="195"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rPr>
        <w:t>The preparation of Consolidated Financial Statements requires management to make estimates and judgements that affect the reported amounts of assets and liabilities at the date of the financial statements and the reported amounts of revenues and expenses during the reported period.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716"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Estimates and judgements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estimates and underlying assumptions are reviewed on an ongoing basis. Critical judgements relate to the recognition of clinical trial and laboratory services revenue as set out in the revenue recognition accounting policy below. Key sources of estimation uncertainty that have the most significant effect on the amounts recognized in the financial statements include the projected EBITDA used in the impairment assessment of goodwill and the assessment of probable outcomes used in the valuation of contingent consideration associated with business combinations. See further details in the respective accounting policies for goodwill and business combinations below.</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policies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accounting policies have been applied consistently in dealing with items which are considered material in relation to the Group’s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Group’s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presentation and functional currency of the Company is US dollars ($). The presentation currency of the Group is US dollars ($).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Company Financial Statements are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recorded in the translation reserve within equity.</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long-term intercompany balances in the Consolidated Financial Statements where repayment is not foreseen, are recorded in the Consolidated Statement of Profit and Loss. Translation differences on long-term intercompany balances, in the Consolidated Financial Statements, where repayment is not foreseen are recorded within other comprehensive income in the Statement of Comprehensive Income.</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disposal of a foreign operation, accumulated currency translation differences, together with any exchange differences on foreign currency borrowings that provide a hedge of the net investment are recognised in the Consolidated Statement of Profit and Loss as part of the overall gain or loss on disposal.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696"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principal exchange rates used for the translation of results, cash flows and statements of financial position into US dollars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Average</w:t>
            </w:r>
          </w:p>
        </w:tc>
        <w:tc>
          <w:tcPr>
            <w:tcW w:w="13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 end</w:t>
            </w:r>
          </w:p>
        </w:tc>
        <w:tc>
          <w:tcPr>
            <w:tcW w:w="1160" w:type="dxa"/>
            <w:vAlign w:val="bottom"/>
            <w:tcBorders>
              <w:bottom w:val="single" w:sz="8" w:color="auto"/>
            </w:tcBorders>
            <w:shd w:val="clear" w:color="auto" w:fill="CCEEFF"/>
          </w:tcPr>
          <w:p>
            <w:pPr>
              <w:spacing w:after="0"/>
              <w:rPr>
                <w:sz w:val="14"/>
                <w:szCs w:val="14"/>
                <w:color w:val="auto"/>
              </w:rPr>
            </w:pPr>
          </w:p>
        </w:tc>
      </w:tr>
      <w:tr>
        <w:trPr>
          <w:trHeight w:val="160"/>
        </w:trPr>
        <w:tc>
          <w:tcPr>
            <w:tcW w:w="5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2020</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31 December 2019</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 December 2019</w:t>
            </w:r>
          </w:p>
        </w:tc>
      </w:tr>
      <w:tr>
        <w:trPr>
          <w:trHeight w:val="108"/>
        </w:trPr>
        <w:tc>
          <w:tcPr>
            <w:tcW w:w="534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16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Euro 1:$</w:t>
            </w: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1.1357</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1.1183</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1.2216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1.1213</w:t>
            </w:r>
          </w:p>
        </w:tc>
      </w:tr>
      <w:tr>
        <w:trPr>
          <w:trHeight w:val="139"/>
        </w:trPr>
        <w:tc>
          <w:tcPr>
            <w:tcW w:w="53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71"/>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1.2821</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1.2735</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1.3670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1.3257</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Items of property, plant and equipment are stated at cost less accumulated depreciation and any provisions for impairment losses. 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60" w:type="dxa"/>
            <w:vAlign w:val="bottom"/>
            <w:tcBorders>
              <w:bottom w:val="single" w:sz="8" w:color="auto"/>
            </w:tcBorders>
            <w:shd w:val="clear" w:color="auto" w:fill="CCEEFF"/>
          </w:tcPr>
          <w:p>
            <w:pPr>
              <w:spacing w:after="0"/>
              <w:rPr>
                <w:sz w:val="14"/>
                <w:szCs w:val="14"/>
                <w:color w:val="auto"/>
              </w:rPr>
            </w:pPr>
          </w:p>
        </w:tc>
        <w:tc>
          <w:tcPr>
            <w:tcW w:w="284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3"/>
                <w:szCs w:val="13"/>
                <w:b w:val="1"/>
                <w:bCs w:val="1"/>
                <w:color w:val="auto"/>
              </w:rPr>
              <w:t>Years</w:t>
            </w:r>
          </w:p>
        </w:tc>
      </w:tr>
      <w:tr>
        <w:trPr>
          <w:trHeight w:val="179"/>
        </w:trPr>
        <w:tc>
          <w:tcPr>
            <w:tcW w:w="3060" w:type="dxa"/>
            <w:vAlign w:val="bottom"/>
          </w:tcPr>
          <w:p>
            <w:pPr>
              <w:ind w:left="20"/>
              <w:spacing w:after="0"/>
              <w:rPr>
                <w:sz w:val="20"/>
                <w:szCs w:val="20"/>
                <w:color w:val="auto"/>
              </w:rPr>
            </w:pPr>
            <w:r>
              <w:rPr>
                <w:rFonts w:ascii="Arial" w:cs="Arial" w:eastAsia="Arial" w:hAnsi="Arial"/>
                <w:sz w:val="13"/>
                <w:szCs w:val="13"/>
                <w:color w:val="auto"/>
              </w:rPr>
              <w:t>Buildings</w:t>
            </w:r>
          </w:p>
        </w:tc>
        <w:tc>
          <w:tcPr>
            <w:tcW w:w="2840" w:type="dxa"/>
            <w:vAlign w:val="bottom"/>
          </w:tcPr>
          <w:p>
            <w:pPr>
              <w:jc w:val="center"/>
              <w:ind w:left="516"/>
              <w:spacing w:after="0"/>
              <w:rPr>
                <w:sz w:val="20"/>
                <w:szCs w:val="20"/>
                <w:color w:val="auto"/>
              </w:rPr>
            </w:pPr>
            <w:r>
              <w:rPr>
                <w:rFonts w:ascii="Arial" w:cs="Arial" w:eastAsia="Arial" w:hAnsi="Arial"/>
                <w:sz w:val="13"/>
                <w:szCs w:val="13"/>
                <w:color w:val="auto"/>
                <w:w w:val="96"/>
              </w:rPr>
              <w:t>40</w:t>
            </w:r>
          </w:p>
        </w:tc>
      </w:tr>
      <w:tr>
        <w:trPr>
          <w:trHeight w:val="19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2840" w:type="dxa"/>
            <w:vAlign w:val="bottom"/>
            <w:shd w:val="clear" w:color="auto" w:fill="CCEEFF"/>
          </w:tcPr>
          <w:p>
            <w:pPr>
              <w:jc w:val="center"/>
              <w:ind w:left="516"/>
              <w:spacing w:after="0"/>
              <w:rPr>
                <w:sz w:val="20"/>
                <w:szCs w:val="20"/>
                <w:color w:val="auto"/>
              </w:rPr>
            </w:pPr>
            <w:r>
              <w:rPr>
                <w:rFonts w:ascii="Arial" w:cs="Arial" w:eastAsia="Arial" w:hAnsi="Arial"/>
                <w:sz w:val="13"/>
                <w:szCs w:val="13"/>
                <w:color w:val="auto"/>
                <w:w w:val="95"/>
              </w:rPr>
              <w:t>2-8</w:t>
            </w:r>
          </w:p>
        </w:tc>
      </w:tr>
      <w:tr>
        <w:trPr>
          <w:trHeight w:val="189"/>
        </w:trPr>
        <w:tc>
          <w:tcPr>
            <w:tcW w:w="3060" w:type="dxa"/>
            <w:vAlign w:val="bottom"/>
          </w:tcPr>
          <w:p>
            <w:pPr>
              <w:ind w:left="20"/>
              <w:spacing w:after="0"/>
              <w:rPr>
                <w:sz w:val="20"/>
                <w:szCs w:val="20"/>
                <w:color w:val="auto"/>
              </w:rPr>
            </w:pPr>
            <w:r>
              <w:rPr>
                <w:rFonts w:ascii="Arial" w:cs="Arial" w:eastAsia="Arial" w:hAnsi="Arial"/>
                <w:sz w:val="13"/>
                <w:szCs w:val="13"/>
                <w:color w:val="auto"/>
              </w:rPr>
              <w:t>Office furniture and fixtures</w:t>
            </w:r>
          </w:p>
        </w:tc>
        <w:tc>
          <w:tcPr>
            <w:tcW w:w="2840" w:type="dxa"/>
            <w:vAlign w:val="bottom"/>
          </w:tcPr>
          <w:p>
            <w:pPr>
              <w:jc w:val="center"/>
              <w:ind w:left="496"/>
              <w:spacing w:after="0"/>
              <w:rPr>
                <w:sz w:val="20"/>
                <w:szCs w:val="20"/>
                <w:color w:val="auto"/>
              </w:rPr>
            </w:pPr>
            <w:r>
              <w:rPr>
                <w:rFonts w:ascii="Arial" w:cs="Arial" w:eastAsia="Arial" w:hAnsi="Arial"/>
                <w:sz w:val="13"/>
                <w:szCs w:val="13"/>
                <w:color w:val="auto"/>
              </w:rPr>
              <w:t>8</w:t>
            </w:r>
          </w:p>
        </w:tc>
      </w:tr>
      <w:tr>
        <w:trPr>
          <w:trHeight w:val="19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Laboratory equipment</w:t>
            </w:r>
          </w:p>
        </w:tc>
        <w:tc>
          <w:tcPr>
            <w:tcW w:w="2840" w:type="dxa"/>
            <w:vAlign w:val="bottom"/>
            <w:shd w:val="clear" w:color="auto" w:fill="CCEEFF"/>
          </w:tcPr>
          <w:p>
            <w:pPr>
              <w:jc w:val="center"/>
              <w:ind w:left="496"/>
              <w:spacing w:after="0"/>
              <w:rPr>
                <w:sz w:val="20"/>
                <w:szCs w:val="20"/>
                <w:color w:val="auto"/>
              </w:rPr>
            </w:pPr>
            <w:r>
              <w:rPr>
                <w:rFonts w:ascii="Arial" w:cs="Arial" w:eastAsia="Arial" w:hAnsi="Arial"/>
                <w:sz w:val="13"/>
                <w:szCs w:val="13"/>
                <w:color w:val="auto"/>
              </w:rPr>
              <w:t>5</w:t>
            </w:r>
          </w:p>
        </w:tc>
      </w:tr>
      <w:tr>
        <w:trPr>
          <w:trHeight w:val="187"/>
        </w:trPr>
        <w:tc>
          <w:tcPr>
            <w:tcW w:w="3060" w:type="dxa"/>
            <w:vAlign w:val="bottom"/>
          </w:tcPr>
          <w:p>
            <w:pPr>
              <w:ind w:left="20"/>
              <w:spacing w:after="0"/>
              <w:rPr>
                <w:sz w:val="20"/>
                <w:szCs w:val="20"/>
                <w:color w:val="auto"/>
              </w:rPr>
            </w:pPr>
            <w:r>
              <w:rPr>
                <w:rFonts w:ascii="Arial" w:cs="Arial" w:eastAsia="Arial" w:hAnsi="Arial"/>
                <w:sz w:val="13"/>
                <w:szCs w:val="13"/>
                <w:color w:val="auto"/>
              </w:rPr>
              <w:t>Motor vehicles</w:t>
            </w:r>
          </w:p>
        </w:tc>
        <w:tc>
          <w:tcPr>
            <w:tcW w:w="2840" w:type="dxa"/>
            <w:vAlign w:val="bottom"/>
          </w:tcPr>
          <w:p>
            <w:pPr>
              <w:jc w:val="center"/>
              <w:ind w:left="496"/>
              <w:spacing w:after="0"/>
              <w:rPr>
                <w:sz w:val="20"/>
                <w:szCs w:val="20"/>
                <w:color w:val="auto"/>
              </w:rPr>
            </w:pPr>
            <w:r>
              <w:rPr>
                <w:rFonts w:ascii="Arial" w:cs="Arial" w:eastAsia="Arial" w:hAnsi="Arial"/>
                <w:sz w:val="13"/>
                <w:szCs w:val="13"/>
                <w:color w:val="auto"/>
              </w:rPr>
              <w:t>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Leasehold improvements are amortised using the straight-line method over the estimated useful life of the asset or the lease term, whichever is shorter.</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disposal of property, plant and equipment the cost and related accumulated depreciation and impairments are removed from the financial statements and the net amount, less any proceeds, is taken to the Consolidated Statement of Profit and Loss.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carrying amounts of the Group’s property, plant and equipment are reviewed at each reporting date to determine whether there is any indicator of impairment. Where such an indicator exists an impairment review is carried out. An impairment loss is recognised whenever the carrying amount of an asset or its cash generation unit exceeds its recoverable amount. Impairment losses are recognised in the Consolidated Statement of Profit and Loss.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Consolidated Statement of Profit and Loss during the financial period in which they are incurred.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 and lease liabilities</w:t>
      </w:r>
    </w:p>
    <w:p>
      <w:pPr>
        <w:spacing w:after="0" w:line="193"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ICON determines if an arrangement is a lease at inception and recognises the rights and obligations resulting from virtually all leases on the Consolidated Statements of Financial Position as right-of-use (ROU) assets with corresponding lease liabilities.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right-of-use assets comprise the initial measurement of the corresponding lease liability, plus lease payments made at or before the commencement day and any initial direct costs, less any lease incentives received. They are subsequently measured at cost less accumulated depreciation and impairment losses. Right-of-use assets are depreciated over the lease term.</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right-of-use assets are presented as a separate line in the Consolidated Statement of Financial Position. The Group applies IAS 36 to determine whether a right-of-use asset is impaired and accounts for any identified impairment loss as described in the ‘Property, Plant and Equipment’ policy.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Lease liabilities are recognised based on the present value of future minimum lease payments over the lease term at commencement date or date of transition with the interest element of the finance lease charged to financing expense.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696"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most of ICON's leases do not provide an implicit rate, the discount rate used is based on the rate of traded corporate bonds available at the commencement date adjusted for country risk, liquidity and lease term.</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Current lease liabilities are included in accrued and other liabilities in the Consolidated Statement of Financial Position and non-current lease liabilities are presented as a separate line. The lease liability is subsequently measured by increasing the carrying amount to reflect interest on the lease liability (using the effective interest method) and by reducing the carrying amount to reflect the lease payments made.</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Lease terms may also include options to extend or terminate. Such options are actively reviewed and adjustments to the ROU asset and lease liability are made when it is reasonably certain the option will be exercised.</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Amendments to IFRS 16 were made by the IASB in 2020 allowing rent concessions directly related to the COVID-19 pandemic not to be accounted as lease modifications. Rental concessions directly related to the COVID-19 pandemic are recognised in the Consolidated Statement of Profit and Loss in the period they are received.</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The Group accounts for lease and non-lease components separately with the exception of motor vehicle leases for which lease and non-lease components are accounted as a single lease component.</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Lease components are reflected in the Consolidated Statements of Financial Position and non-lease components expensed directly to the Consolidated Statements of Profit and Loss.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Group has elected to account for short-term leases using the practical expedient. Instead of recognising a right-of-use asset and lease liability, the payments in relation to these are recognised as an expense in the Consolidated Statement of Profit and Loss on a straight-line basis over the lease term.</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some cases, ICON enters into sublease agreements and becomes both a lessee and a lessor for the same underlying asset. When the Group is an intermediate lessor, it accounts for the head lease and the sub-lease as two separate contracts. Subleases are accounted for in the same way as other leases. The sub-lease is classified as a finance or operating lease by reference to the right-of-use asset arising from the head lease.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to the assessment of contingent consideration determined as at acquisition date will be accounted for through the Consolidated Statement of Profit and Loss, as the liability is measured at fair value at each reporting date.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 measures goodwill at the acquisition date as the fair value of the consideration transferred plus the recognised amount of any non 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80"/>
          </w:cols>
          <w:pgMar w:left="300" w:top="696" w:right="31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Following initial recognition, goodwill is measured at cost less any accumulated impairment losses. Goodwill is reviewed for impairment annually or more frequently if events or changes in circumstances indicate that the carrying value may be impaired.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Other intangible assets are stated at cost less accumulated amortisation and impairment losses. Useful lives of intangibles are reviewed and adjusted if appropriate at each reporting date. Amortisation is charged to the Consolidated Statement of Profit and Loss on a straight-line basis over the estimated useful lives of intangible assets, currently estimated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0" w:type="dxa"/>
            <w:vAlign w:val="bottom"/>
          </w:tcPr>
          <w:p>
            <w:pPr>
              <w:spacing w:after="0"/>
              <w:rPr>
                <w:sz w:val="14"/>
                <w:szCs w:val="14"/>
                <w:color w:val="auto"/>
              </w:rPr>
            </w:pPr>
          </w:p>
        </w:tc>
        <w:tc>
          <w:tcPr>
            <w:tcW w:w="3040" w:type="dxa"/>
            <w:vAlign w:val="bottom"/>
            <w:tcBorders>
              <w:bottom w:val="single" w:sz="8" w:color="auto"/>
            </w:tcBorders>
            <w:shd w:val="clear" w:color="auto" w:fill="CCEEFF"/>
          </w:tcPr>
          <w:p>
            <w:pPr>
              <w:spacing w:after="0"/>
              <w:rPr>
                <w:sz w:val="14"/>
                <w:szCs w:val="14"/>
                <w:color w:val="auto"/>
              </w:rPr>
            </w:pPr>
          </w:p>
        </w:tc>
        <w:tc>
          <w:tcPr>
            <w:tcW w:w="280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3"/>
                <w:szCs w:val="13"/>
                <w:b w:val="1"/>
                <w:bCs w:val="1"/>
                <w:color w:val="auto"/>
              </w:rPr>
              <w:t>Years</w:t>
            </w:r>
          </w:p>
        </w:tc>
      </w:tr>
      <w:tr>
        <w:trPr>
          <w:trHeight w:val="158"/>
        </w:trPr>
        <w:tc>
          <w:tcPr>
            <w:tcW w:w="3080" w:type="dxa"/>
            <w:vAlign w:val="bottom"/>
            <w:gridSpan w:val="2"/>
          </w:tcPr>
          <w:p>
            <w:pPr>
              <w:spacing w:after="0"/>
              <w:rPr>
                <w:sz w:val="20"/>
                <w:szCs w:val="20"/>
                <w:color w:val="auto"/>
              </w:rPr>
            </w:pPr>
            <w:r>
              <w:rPr>
                <w:rFonts w:ascii="Arial" w:cs="Arial" w:eastAsia="Arial" w:hAnsi="Arial"/>
                <w:sz w:val="13"/>
                <w:szCs w:val="13"/>
                <w:color w:val="auto"/>
              </w:rPr>
              <w:t>Computer software</w:t>
            </w:r>
          </w:p>
        </w:tc>
        <w:tc>
          <w:tcPr>
            <w:tcW w:w="2800" w:type="dxa"/>
            <w:vAlign w:val="bottom"/>
          </w:tcPr>
          <w:p>
            <w:pPr>
              <w:jc w:val="center"/>
              <w:ind w:left="436"/>
              <w:spacing w:after="0"/>
              <w:rPr>
                <w:sz w:val="20"/>
                <w:szCs w:val="20"/>
                <w:color w:val="auto"/>
              </w:rPr>
            </w:pPr>
            <w:r>
              <w:rPr>
                <w:rFonts w:ascii="Arial" w:cs="Arial" w:eastAsia="Arial" w:hAnsi="Arial"/>
                <w:sz w:val="13"/>
                <w:szCs w:val="13"/>
                <w:color w:val="auto"/>
                <w:w w:val="95"/>
              </w:rPr>
              <w:t>2-8</w:t>
            </w:r>
          </w:p>
        </w:tc>
      </w:tr>
      <w:tr>
        <w:trPr>
          <w:trHeight w:val="172"/>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2800" w:type="dxa"/>
            <w:vAlign w:val="bottom"/>
            <w:shd w:val="clear" w:color="auto" w:fill="CCEEFF"/>
          </w:tcPr>
          <w:p>
            <w:pPr>
              <w:jc w:val="center"/>
              <w:ind w:left="436"/>
              <w:spacing w:after="0"/>
              <w:rPr>
                <w:sz w:val="20"/>
                <w:szCs w:val="20"/>
                <w:color w:val="auto"/>
              </w:rPr>
            </w:pPr>
            <w:r>
              <w:rPr>
                <w:rFonts w:ascii="Arial" w:cs="Arial" w:eastAsia="Arial" w:hAnsi="Arial"/>
                <w:sz w:val="13"/>
                <w:szCs w:val="13"/>
                <w:color w:val="auto"/>
                <w:w w:val="99"/>
              </w:rPr>
              <w:t>7-16</w:t>
            </w:r>
          </w:p>
        </w:tc>
      </w:tr>
      <w:tr>
        <w:trPr>
          <w:trHeight w:val="168"/>
        </w:trPr>
        <w:tc>
          <w:tcPr>
            <w:tcW w:w="3080" w:type="dxa"/>
            <w:vAlign w:val="bottom"/>
            <w:gridSpan w:val="2"/>
          </w:tcPr>
          <w:p>
            <w:pPr>
              <w:spacing w:after="0"/>
              <w:rPr>
                <w:sz w:val="20"/>
                <w:szCs w:val="20"/>
                <w:color w:val="auto"/>
              </w:rPr>
            </w:pPr>
            <w:r>
              <w:rPr>
                <w:rFonts w:ascii="Arial" w:cs="Arial" w:eastAsia="Arial" w:hAnsi="Arial"/>
                <w:sz w:val="13"/>
                <w:szCs w:val="13"/>
                <w:color w:val="auto"/>
              </w:rPr>
              <w:t>Order backlog</w:t>
            </w:r>
          </w:p>
        </w:tc>
        <w:tc>
          <w:tcPr>
            <w:tcW w:w="2800" w:type="dxa"/>
            <w:vAlign w:val="bottom"/>
          </w:tcPr>
          <w:p>
            <w:pPr>
              <w:jc w:val="center"/>
              <w:ind w:left="436"/>
              <w:spacing w:after="0"/>
              <w:rPr>
                <w:sz w:val="20"/>
                <w:szCs w:val="20"/>
                <w:color w:val="auto"/>
              </w:rPr>
            </w:pPr>
            <w:r>
              <w:rPr>
                <w:rFonts w:ascii="Arial" w:cs="Arial" w:eastAsia="Arial" w:hAnsi="Arial"/>
                <w:sz w:val="13"/>
                <w:szCs w:val="13"/>
                <w:color w:val="auto"/>
                <w:w w:val="95"/>
              </w:rPr>
              <w:t>1-9</w:t>
            </w:r>
          </w:p>
        </w:tc>
      </w:tr>
      <w:tr>
        <w:trPr>
          <w:trHeight w:val="172"/>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Brand</w:t>
            </w:r>
          </w:p>
        </w:tc>
        <w:tc>
          <w:tcPr>
            <w:tcW w:w="2800" w:type="dxa"/>
            <w:vAlign w:val="bottom"/>
            <w:shd w:val="clear" w:color="auto" w:fill="CCEEFF"/>
          </w:tcPr>
          <w:p>
            <w:pPr>
              <w:jc w:val="center"/>
              <w:ind w:left="436"/>
              <w:spacing w:after="0"/>
              <w:rPr>
                <w:sz w:val="20"/>
                <w:szCs w:val="20"/>
                <w:color w:val="auto"/>
              </w:rPr>
            </w:pPr>
            <w:r>
              <w:rPr>
                <w:rFonts w:ascii="Arial" w:cs="Arial" w:eastAsia="Arial" w:hAnsi="Arial"/>
                <w:sz w:val="13"/>
                <w:szCs w:val="13"/>
                <w:color w:val="auto"/>
                <w:w w:val="82"/>
              </w:rPr>
              <w:t>5</w:t>
            </w:r>
          </w:p>
        </w:tc>
      </w:tr>
      <w:tr>
        <w:trPr>
          <w:trHeight w:val="168"/>
        </w:trPr>
        <w:tc>
          <w:tcPr>
            <w:tcW w:w="3080" w:type="dxa"/>
            <w:vAlign w:val="bottom"/>
            <w:gridSpan w:val="2"/>
          </w:tcPr>
          <w:p>
            <w:pPr>
              <w:spacing w:after="0"/>
              <w:rPr>
                <w:sz w:val="20"/>
                <w:szCs w:val="20"/>
                <w:color w:val="auto"/>
              </w:rPr>
            </w:pPr>
            <w:r>
              <w:rPr>
                <w:rFonts w:ascii="Arial" w:cs="Arial" w:eastAsia="Arial" w:hAnsi="Arial"/>
                <w:sz w:val="13"/>
                <w:szCs w:val="13"/>
                <w:color w:val="auto"/>
              </w:rPr>
              <w:t>Technology asset</w:t>
            </w:r>
          </w:p>
        </w:tc>
        <w:tc>
          <w:tcPr>
            <w:tcW w:w="2800" w:type="dxa"/>
            <w:vAlign w:val="bottom"/>
          </w:tcPr>
          <w:p>
            <w:pPr>
              <w:jc w:val="center"/>
              <w:ind w:left="436"/>
              <w:spacing w:after="0"/>
              <w:rPr>
                <w:sz w:val="20"/>
                <w:szCs w:val="20"/>
                <w:color w:val="auto"/>
              </w:rPr>
            </w:pPr>
            <w:r>
              <w:rPr>
                <w:rFonts w:ascii="Arial" w:cs="Arial" w:eastAsia="Arial" w:hAnsi="Arial"/>
                <w:sz w:val="13"/>
                <w:szCs w:val="13"/>
                <w:color w:val="auto"/>
                <w:w w:val="82"/>
              </w:rPr>
              <w:t>8</w:t>
            </w:r>
          </w:p>
        </w:tc>
      </w:tr>
      <w:tr>
        <w:trPr>
          <w:trHeight w:val="172"/>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Non-compete arrangements</w:t>
            </w:r>
          </w:p>
        </w:tc>
        <w:tc>
          <w:tcPr>
            <w:tcW w:w="2800" w:type="dxa"/>
            <w:vAlign w:val="bottom"/>
            <w:shd w:val="clear" w:color="auto" w:fill="CCEEFF"/>
          </w:tcPr>
          <w:p>
            <w:pPr>
              <w:jc w:val="center"/>
              <w:ind w:left="436"/>
              <w:spacing w:after="0"/>
              <w:rPr>
                <w:sz w:val="20"/>
                <w:szCs w:val="20"/>
                <w:color w:val="auto"/>
              </w:rPr>
            </w:pPr>
            <w:r>
              <w:rPr>
                <w:rFonts w:ascii="Arial" w:cs="Arial" w:eastAsia="Arial" w:hAnsi="Arial"/>
                <w:sz w:val="13"/>
                <w:szCs w:val="13"/>
                <w:color w:val="auto"/>
                <w:w w:val="82"/>
              </w:rPr>
              <w:t>5</w:t>
            </w:r>
          </w:p>
        </w:tc>
      </w:tr>
      <w:tr>
        <w:trPr>
          <w:trHeight w:val="165"/>
        </w:trPr>
        <w:tc>
          <w:tcPr>
            <w:tcW w:w="3080" w:type="dxa"/>
            <w:vAlign w:val="bottom"/>
            <w:gridSpan w:val="2"/>
          </w:tcPr>
          <w:p>
            <w:pPr>
              <w:spacing w:after="0"/>
              <w:rPr>
                <w:sz w:val="20"/>
                <w:szCs w:val="20"/>
                <w:color w:val="auto"/>
              </w:rPr>
            </w:pPr>
            <w:r>
              <w:rPr>
                <w:rFonts w:ascii="Arial" w:cs="Arial" w:eastAsia="Arial" w:hAnsi="Arial"/>
                <w:sz w:val="13"/>
                <w:szCs w:val="13"/>
                <w:color w:val="auto"/>
              </w:rPr>
              <w:t>Patient database</w:t>
            </w:r>
          </w:p>
        </w:tc>
        <w:tc>
          <w:tcPr>
            <w:tcW w:w="2800" w:type="dxa"/>
            <w:vAlign w:val="bottom"/>
          </w:tcPr>
          <w:p>
            <w:pPr>
              <w:jc w:val="center"/>
              <w:ind w:left="436"/>
              <w:spacing w:after="0"/>
              <w:rPr>
                <w:sz w:val="20"/>
                <w:szCs w:val="20"/>
                <w:color w:val="auto"/>
              </w:rPr>
            </w:pPr>
            <w:r>
              <w:rPr>
                <w:rFonts w:ascii="Arial" w:cs="Arial" w:eastAsia="Arial" w:hAnsi="Arial"/>
                <w:sz w:val="13"/>
                <w:szCs w:val="13"/>
                <w:color w:val="auto"/>
                <w:w w:val="82"/>
              </w:rPr>
              <w:t>7</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 assessed at the end of each reporting period whether there was objective evidence that a financial asset or group of financial assets was impaired. A financial asset or a group of financial assets was impaired and impairment losses were incurred only if there was objective evidence of impairment as a result of one or more events that occurred after the initial recognition of the asset (a 'loss event') and that loss event (or events) had an impact on the estimated future cash flows of the financial asset or group of financial assets that could be reliably estimated.</w:t>
      </w:r>
    </w:p>
    <w:p>
      <w:pPr>
        <w:spacing w:after="0" w:line="176"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auto"/>
        </w:rPr>
        <w:t>Impairment losses in respect of other non-financial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Inventories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payable</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Trade and other payables are presented as current liabilities unless payment is not due within 12 months after the reporting period. They are recognised initially at fair value and subsequently measured at amortised cost using the effective interest rate method.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Government grants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Government grants received that compensate the Group for the cost of an asset are recognised in the Consolidated Statement of Financial Position initially as deferred income when there is reasonable assurance that it will be received and that the Group will comply with the conditions attaching to it. Such grants are recognised in the Consolidated Statement of Profit and Loss over the useful economic life of the asset which is consistent with the depreciation policy of the relevant asset.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Grants that compensate the Group for expenses incurred are recognised in the Consolidated Statement of Profit and Loss in the same periods in which the expenditure to which they relate is charged.</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696"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w:t>
      </w:r>
    </w:p>
    <w:p>
      <w:pPr>
        <w:spacing w:after="0" w:line="204" w:lineRule="exact"/>
        <w:rPr>
          <w:sz w:val="20"/>
          <w:szCs w:val="20"/>
          <w:color w:val="auto"/>
        </w:rPr>
      </w:pPr>
    </w:p>
    <w:p>
      <w:pPr>
        <w:jc w:val="both"/>
        <w:ind w:right="20"/>
        <w:spacing w:after="0"/>
        <w:rPr>
          <w:sz w:val="20"/>
          <w:szCs w:val="20"/>
          <w:color w:val="auto"/>
        </w:rPr>
      </w:pPr>
      <w:r>
        <w:rPr>
          <w:rFonts w:ascii="Arial" w:cs="Arial" w:eastAsia="Arial" w:hAnsi="Arial"/>
          <w:sz w:val="13"/>
          <w:szCs w:val="13"/>
          <w:color w:val="auto"/>
        </w:rPr>
        <w:t>A provision is recognised in the Consolidated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87" w:lineRule="exact"/>
        <w:rPr>
          <w:sz w:val="20"/>
          <w:szCs w:val="20"/>
          <w:color w:val="auto"/>
        </w:rPr>
      </w:pPr>
    </w:p>
    <w:p>
      <w:pPr>
        <w:jc w:val="both"/>
        <w:ind w:right="20"/>
        <w:spacing w:after="0" w:line="244" w:lineRule="auto"/>
        <w:rPr>
          <w:sz w:val="20"/>
          <w:szCs w:val="20"/>
          <w:color w:val="auto"/>
        </w:rPr>
      </w:pPr>
      <w:r>
        <w:rPr>
          <w:rFonts w:ascii="Arial" w:cs="Arial" w:eastAsia="Arial" w:hAnsi="Arial"/>
          <w:sz w:val="13"/>
          <w:szCs w:val="13"/>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The Group assesses the business models and contractual cash flows which apply to its financial assets and classified the assets into the appropriate IFRS 9 categories accordingly.</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3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Financial asset category</w:t>
            </w:r>
          </w:p>
        </w:tc>
        <w:tc>
          <w:tcPr>
            <w:tcW w:w="30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Classification and measurement under IFRS 9</w:t>
            </w:r>
          </w:p>
        </w:tc>
        <w:tc>
          <w:tcPr>
            <w:tcW w:w="59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Classification test outcomes</w:t>
            </w:r>
          </w:p>
        </w:tc>
        <w:tc>
          <w:tcPr>
            <w:tcW w:w="0" w:type="dxa"/>
            <w:vAlign w:val="bottom"/>
          </w:tcPr>
          <w:p>
            <w:pPr>
              <w:spacing w:after="0"/>
              <w:rPr>
                <w:sz w:val="1"/>
                <w:szCs w:val="1"/>
                <w:color w:val="auto"/>
              </w:rPr>
            </w:pPr>
          </w:p>
        </w:tc>
      </w:tr>
      <w:tr>
        <w:trPr>
          <w:trHeight w:val="156"/>
        </w:trPr>
        <w:tc>
          <w:tcPr>
            <w:tcW w:w="2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Cash and cash equivalents</w:t>
            </w:r>
          </w:p>
        </w:tc>
        <w:tc>
          <w:tcPr>
            <w:tcW w:w="3060" w:type="dxa"/>
            <w:vAlign w:val="bottom"/>
            <w:tcBorders>
              <w:right w:val="single" w:sz="8" w:color="auto"/>
            </w:tcBorders>
          </w:tcPr>
          <w:p>
            <w:pPr>
              <w:spacing w:after="0"/>
              <w:rPr>
                <w:sz w:val="13"/>
                <w:szCs w:val="13"/>
                <w:color w:val="auto"/>
              </w:rPr>
            </w:pPr>
          </w:p>
        </w:tc>
        <w:tc>
          <w:tcPr>
            <w:tcW w:w="5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00" w:type="dxa"/>
            <w:vAlign w:val="bottom"/>
            <w:tcBorders>
              <w:left w:val="single" w:sz="8" w:color="auto"/>
              <w:right w:val="single" w:sz="8" w:color="auto"/>
            </w:tcBorders>
          </w:tcPr>
          <w:p>
            <w:pPr>
              <w:spacing w:after="0"/>
              <w:rPr>
                <w:sz w:val="12"/>
                <w:szCs w:val="12"/>
                <w:color w:val="auto"/>
              </w:rPr>
            </w:pPr>
          </w:p>
        </w:tc>
        <w:tc>
          <w:tcPr>
            <w:tcW w:w="3060" w:type="dxa"/>
            <w:vAlign w:val="bottom"/>
            <w:tcBorders>
              <w:right w:val="single" w:sz="8" w:color="auto"/>
            </w:tcBorders>
          </w:tcPr>
          <w:p>
            <w:pPr>
              <w:spacing w:after="0" w:line="144" w:lineRule="exact"/>
              <w:rPr>
                <w:sz w:val="20"/>
                <w:szCs w:val="20"/>
                <w:color w:val="auto"/>
              </w:rPr>
            </w:pPr>
            <w:r>
              <w:rPr>
                <w:rFonts w:ascii="Arial" w:cs="Arial" w:eastAsia="Arial" w:hAnsi="Arial"/>
                <w:sz w:val="13"/>
                <w:szCs w:val="13"/>
                <w:color w:val="auto"/>
              </w:rPr>
              <w:t>Financial assets at fair value (initial recognition)</w:t>
            </w:r>
          </w:p>
        </w:tc>
        <w:tc>
          <w:tcPr>
            <w:tcW w:w="59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Business model test result: hold to collect contractual cash flows. Cash flow characteristics test result:</w:t>
            </w:r>
          </w:p>
        </w:tc>
        <w:tc>
          <w:tcPr>
            <w:tcW w:w="0" w:type="dxa"/>
            <w:vAlign w:val="bottom"/>
          </w:tcPr>
          <w:p>
            <w:pPr>
              <w:spacing w:after="0"/>
              <w:rPr>
                <w:sz w:val="1"/>
                <w:szCs w:val="1"/>
                <w:color w:val="auto"/>
              </w:rPr>
            </w:pPr>
          </w:p>
        </w:tc>
      </w:tr>
      <w:tr>
        <w:trPr>
          <w:trHeight w:val="64"/>
        </w:trPr>
        <w:tc>
          <w:tcPr>
            <w:tcW w:w="2300" w:type="dxa"/>
            <w:vAlign w:val="bottom"/>
            <w:tcBorders>
              <w:left w:val="single" w:sz="8" w:color="auto"/>
              <w:right w:val="single" w:sz="8" w:color="auto"/>
            </w:tcBorders>
            <w:vMerge w:val="restart"/>
          </w:tcPr>
          <w:p>
            <w:pPr>
              <w:ind w:left="20"/>
              <w:spacing w:after="0" w:line="137" w:lineRule="exact"/>
              <w:rPr>
                <w:sz w:val="20"/>
                <w:szCs w:val="20"/>
                <w:color w:val="auto"/>
              </w:rPr>
            </w:pPr>
            <w:r>
              <w:rPr>
                <w:rFonts w:ascii="Arial" w:cs="Arial" w:eastAsia="Arial" w:hAnsi="Arial"/>
                <w:sz w:val="13"/>
                <w:szCs w:val="13"/>
                <w:color w:val="auto"/>
              </w:rPr>
              <w:t>Trade receivables</w:t>
            </w:r>
          </w:p>
        </w:tc>
        <w:tc>
          <w:tcPr>
            <w:tcW w:w="3060" w:type="dxa"/>
            <w:vAlign w:val="bottom"/>
            <w:tcBorders>
              <w:right w:val="single" w:sz="8" w:color="auto"/>
            </w:tcBorders>
            <w:vMerge w:val="restart"/>
          </w:tcPr>
          <w:p>
            <w:pPr>
              <w:spacing w:after="0" w:line="137" w:lineRule="exact"/>
              <w:rPr>
                <w:sz w:val="20"/>
                <w:szCs w:val="20"/>
                <w:color w:val="auto"/>
              </w:rPr>
            </w:pPr>
            <w:r>
              <w:rPr>
                <w:rFonts w:ascii="Arial" w:cs="Arial" w:eastAsia="Arial" w:hAnsi="Arial"/>
                <w:sz w:val="13"/>
                <w:szCs w:val="13"/>
                <w:color w:val="auto"/>
              </w:rPr>
              <w:t>followed by amortised cost net of impairments</w:t>
            </w:r>
          </w:p>
        </w:tc>
        <w:tc>
          <w:tcPr>
            <w:tcW w:w="5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300" w:type="dxa"/>
            <w:vAlign w:val="bottom"/>
            <w:tcBorders>
              <w:left w:val="single" w:sz="8" w:color="auto"/>
              <w:right w:val="single" w:sz="8" w:color="auto"/>
            </w:tcBorders>
            <w:vMerge w:val="continue"/>
          </w:tcPr>
          <w:p>
            <w:pPr>
              <w:spacing w:after="0"/>
              <w:rPr>
                <w:sz w:val="6"/>
                <w:szCs w:val="6"/>
                <w:color w:val="auto"/>
              </w:rPr>
            </w:pPr>
          </w:p>
        </w:tc>
        <w:tc>
          <w:tcPr>
            <w:tcW w:w="3060" w:type="dxa"/>
            <w:vAlign w:val="bottom"/>
            <w:tcBorders>
              <w:right w:val="single" w:sz="8" w:color="auto"/>
            </w:tcBorders>
            <w:vMerge w:val="continue"/>
          </w:tcPr>
          <w:p>
            <w:pPr>
              <w:spacing w:after="0"/>
              <w:rPr>
                <w:sz w:val="6"/>
                <w:szCs w:val="6"/>
                <w:color w:val="auto"/>
              </w:rPr>
            </w:pPr>
          </w:p>
        </w:tc>
        <w:tc>
          <w:tcPr>
            <w:tcW w:w="59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solely payments of principal and interest.</w:t>
            </w:r>
          </w:p>
        </w:tc>
        <w:tc>
          <w:tcPr>
            <w:tcW w:w="0" w:type="dxa"/>
            <w:vAlign w:val="bottom"/>
          </w:tcPr>
          <w:p>
            <w:pPr>
              <w:spacing w:after="0"/>
              <w:rPr>
                <w:sz w:val="1"/>
                <w:szCs w:val="1"/>
                <w:color w:val="auto"/>
              </w:rPr>
            </w:pPr>
          </w:p>
        </w:tc>
      </w:tr>
      <w:tr>
        <w:trPr>
          <w:trHeight w:val="80"/>
        </w:trPr>
        <w:tc>
          <w:tcPr>
            <w:tcW w:w="2300" w:type="dxa"/>
            <w:vAlign w:val="bottom"/>
            <w:tcBorders>
              <w:left w:val="single" w:sz="8" w:color="auto"/>
              <w:right w:val="single" w:sz="8" w:color="auto"/>
            </w:tcBorders>
          </w:tcPr>
          <w:p>
            <w:pPr>
              <w:spacing w:after="0"/>
              <w:rPr>
                <w:sz w:val="6"/>
                <w:szCs w:val="6"/>
                <w:color w:val="auto"/>
              </w:rPr>
            </w:pPr>
          </w:p>
        </w:tc>
        <w:tc>
          <w:tcPr>
            <w:tcW w:w="3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(subsequent measurement).</w:t>
            </w:r>
          </w:p>
        </w:tc>
        <w:tc>
          <w:tcPr>
            <w:tcW w:w="59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300" w:type="dxa"/>
            <w:vAlign w:val="bottom"/>
            <w:tcBorders>
              <w:left w:val="single" w:sz="8" w:color="auto"/>
              <w:right w:val="single" w:sz="8" w:color="auto"/>
            </w:tcBorders>
          </w:tcPr>
          <w:p>
            <w:pPr>
              <w:spacing w:after="0"/>
              <w:rPr>
                <w:sz w:val="6"/>
                <w:szCs w:val="6"/>
                <w:color w:val="auto"/>
              </w:rPr>
            </w:pPr>
          </w:p>
        </w:tc>
        <w:tc>
          <w:tcPr>
            <w:tcW w:w="3060" w:type="dxa"/>
            <w:vAlign w:val="bottom"/>
            <w:tcBorders>
              <w:right w:val="single" w:sz="8" w:color="auto"/>
            </w:tcBorders>
            <w:vMerge w:val="continue"/>
          </w:tcPr>
          <w:p>
            <w:pPr>
              <w:spacing w:after="0"/>
              <w:rPr>
                <w:sz w:val="6"/>
                <w:szCs w:val="6"/>
                <w:color w:val="auto"/>
              </w:rPr>
            </w:pPr>
          </w:p>
        </w:tc>
        <w:tc>
          <w:tcPr>
            <w:tcW w:w="5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300" w:type="dxa"/>
            <w:vAlign w:val="bottom"/>
            <w:tcBorders>
              <w:left w:val="single" w:sz="8" w:color="auto"/>
              <w:bottom w:val="single" w:sz="8" w:color="auto"/>
              <w:right w:val="single" w:sz="8" w:color="auto"/>
            </w:tcBorders>
          </w:tcPr>
          <w:p>
            <w:pPr>
              <w:spacing w:after="0"/>
              <w:rPr>
                <w:sz w:val="14"/>
                <w:szCs w:val="14"/>
                <w:color w:val="auto"/>
              </w:rPr>
            </w:pPr>
          </w:p>
        </w:tc>
        <w:tc>
          <w:tcPr>
            <w:tcW w:w="3060" w:type="dxa"/>
            <w:vAlign w:val="bottom"/>
            <w:tcBorders>
              <w:bottom w:val="single" w:sz="8" w:color="auto"/>
              <w:right w:val="single" w:sz="8" w:color="auto"/>
            </w:tcBorders>
          </w:tcPr>
          <w:p>
            <w:pPr>
              <w:spacing w:after="0"/>
              <w:rPr>
                <w:sz w:val="14"/>
                <w:szCs w:val="14"/>
                <w:color w:val="auto"/>
              </w:rPr>
            </w:pPr>
          </w:p>
        </w:tc>
        <w:tc>
          <w:tcPr>
            <w:tcW w:w="5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Current asset investments</w:t>
            </w:r>
          </w:p>
        </w:tc>
        <w:tc>
          <w:tcPr>
            <w:tcW w:w="3060" w:type="dxa"/>
            <w:vAlign w:val="bottom"/>
            <w:tcBorders>
              <w:right w:val="single" w:sz="8" w:color="auto"/>
            </w:tcBorders>
          </w:tcPr>
          <w:p>
            <w:pPr>
              <w:spacing w:after="0" w:line="130" w:lineRule="exact"/>
              <w:rPr>
                <w:sz w:val="20"/>
                <w:szCs w:val="20"/>
                <w:color w:val="auto"/>
              </w:rPr>
            </w:pPr>
            <w:r>
              <w:rPr>
                <w:rFonts w:ascii="Arial" w:cs="Arial" w:eastAsia="Arial" w:hAnsi="Arial"/>
                <w:sz w:val="13"/>
                <w:szCs w:val="13"/>
                <w:color w:val="auto"/>
              </w:rPr>
              <w:t>Short-term financial assets at fair value (initial</w:t>
            </w:r>
          </w:p>
        </w:tc>
        <w:tc>
          <w:tcPr>
            <w:tcW w:w="59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See details below</w:t>
            </w:r>
          </w:p>
        </w:tc>
        <w:tc>
          <w:tcPr>
            <w:tcW w:w="0" w:type="dxa"/>
            <w:vAlign w:val="bottom"/>
          </w:tcPr>
          <w:p>
            <w:pPr>
              <w:spacing w:after="0"/>
              <w:rPr>
                <w:sz w:val="1"/>
                <w:szCs w:val="1"/>
                <w:color w:val="auto"/>
              </w:rPr>
            </w:pPr>
          </w:p>
        </w:tc>
      </w:tr>
      <w:tr>
        <w:trPr>
          <w:trHeight w:val="90"/>
        </w:trPr>
        <w:tc>
          <w:tcPr>
            <w:tcW w:w="2300" w:type="dxa"/>
            <w:vAlign w:val="bottom"/>
            <w:tcBorders>
              <w:left w:val="single" w:sz="8" w:color="auto"/>
              <w:right w:val="single" w:sz="8" w:color="auto"/>
            </w:tcBorders>
            <w:vMerge w:val="continue"/>
          </w:tcPr>
          <w:p>
            <w:pPr>
              <w:spacing w:after="0"/>
              <w:rPr>
                <w:sz w:val="7"/>
                <w:szCs w:val="7"/>
                <w:color w:val="auto"/>
              </w:rPr>
            </w:pPr>
          </w:p>
        </w:tc>
        <w:tc>
          <w:tcPr>
            <w:tcW w:w="3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recognition) either through OCI or profit or loss</w:t>
            </w:r>
          </w:p>
        </w:tc>
        <w:tc>
          <w:tcPr>
            <w:tcW w:w="5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300" w:type="dxa"/>
            <w:vAlign w:val="bottom"/>
            <w:tcBorders>
              <w:left w:val="single" w:sz="8" w:color="auto"/>
              <w:bottom w:val="single" w:sz="8" w:color="auto"/>
              <w:right w:val="single" w:sz="8" w:color="auto"/>
            </w:tcBorders>
          </w:tcPr>
          <w:p>
            <w:pPr>
              <w:spacing w:after="0"/>
              <w:rPr>
                <w:sz w:val="5"/>
                <w:szCs w:val="5"/>
                <w:color w:val="auto"/>
              </w:rPr>
            </w:pPr>
          </w:p>
        </w:tc>
        <w:tc>
          <w:tcPr>
            <w:tcW w:w="3060" w:type="dxa"/>
            <w:vAlign w:val="bottom"/>
            <w:tcBorders>
              <w:bottom w:val="single" w:sz="8" w:color="auto"/>
              <w:right w:val="single" w:sz="8" w:color="auto"/>
            </w:tcBorders>
            <w:vMerge w:val="continue"/>
          </w:tcPr>
          <w:p>
            <w:pPr>
              <w:spacing w:after="0"/>
              <w:rPr>
                <w:sz w:val="5"/>
                <w:szCs w:val="5"/>
                <w:color w:val="auto"/>
              </w:rPr>
            </w:pPr>
          </w:p>
        </w:tc>
        <w:tc>
          <w:tcPr>
            <w:tcW w:w="5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Non-current financial assets</w:t>
            </w:r>
          </w:p>
        </w:tc>
        <w:tc>
          <w:tcPr>
            <w:tcW w:w="3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Long-term financial assets at fair value through profit</w:t>
            </w:r>
          </w:p>
        </w:tc>
        <w:tc>
          <w:tcPr>
            <w:tcW w:w="5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See details below</w:t>
            </w:r>
          </w:p>
        </w:tc>
        <w:tc>
          <w:tcPr>
            <w:tcW w:w="0" w:type="dxa"/>
            <w:vAlign w:val="bottom"/>
          </w:tcPr>
          <w:p>
            <w:pPr>
              <w:spacing w:after="0"/>
              <w:rPr>
                <w:sz w:val="1"/>
                <w:szCs w:val="1"/>
                <w:color w:val="auto"/>
              </w:rPr>
            </w:pPr>
          </w:p>
        </w:tc>
      </w:tr>
      <w:tr>
        <w:trPr>
          <w:trHeight w:val="106"/>
        </w:trPr>
        <w:tc>
          <w:tcPr>
            <w:tcW w:w="2300" w:type="dxa"/>
            <w:vAlign w:val="bottom"/>
            <w:tcBorders>
              <w:left w:val="single" w:sz="8" w:color="auto"/>
              <w:bottom w:val="single" w:sz="8" w:color="auto"/>
              <w:right w:val="single" w:sz="8" w:color="auto"/>
            </w:tcBorders>
          </w:tcPr>
          <w:p>
            <w:pPr>
              <w:spacing w:after="0"/>
              <w:rPr>
                <w:sz w:val="9"/>
                <w:szCs w:val="9"/>
                <w:color w:val="auto"/>
              </w:rPr>
            </w:pPr>
          </w:p>
        </w:tc>
        <w:tc>
          <w:tcPr>
            <w:tcW w:w="3060" w:type="dxa"/>
            <w:vAlign w:val="bottom"/>
            <w:tcBorders>
              <w:bottom w:val="single" w:sz="8" w:color="auto"/>
              <w:right w:val="single" w:sz="8" w:color="auto"/>
            </w:tcBorders>
          </w:tcPr>
          <w:p>
            <w:pPr>
              <w:spacing w:after="0" w:line="106" w:lineRule="exact"/>
              <w:rPr>
                <w:sz w:val="20"/>
                <w:szCs w:val="20"/>
                <w:color w:val="auto"/>
              </w:rPr>
            </w:pPr>
            <w:r>
              <w:rPr>
                <w:rFonts w:ascii="Arial" w:cs="Arial" w:eastAsia="Arial" w:hAnsi="Arial"/>
                <w:sz w:val="12"/>
                <w:szCs w:val="12"/>
                <w:color w:val="auto"/>
              </w:rPr>
              <w:t>or loss</w:t>
            </w:r>
          </w:p>
        </w:tc>
        <w:tc>
          <w:tcPr>
            <w:tcW w:w="5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3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Contingent consideration</w:t>
            </w:r>
          </w:p>
        </w:tc>
        <w:tc>
          <w:tcPr>
            <w:tcW w:w="3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Fair value through profit or loss.</w:t>
            </w:r>
          </w:p>
        </w:tc>
        <w:tc>
          <w:tcPr>
            <w:tcW w:w="5940" w:type="dxa"/>
            <w:vAlign w:val="bottom"/>
            <w:tcBorders>
              <w:right w:val="single" w:sz="8" w:color="auto"/>
            </w:tcBorders>
          </w:tcPr>
          <w:p>
            <w:pPr>
              <w:spacing w:after="0" w:line="130" w:lineRule="exact"/>
              <w:rPr>
                <w:sz w:val="20"/>
                <w:szCs w:val="20"/>
                <w:color w:val="auto"/>
              </w:rPr>
            </w:pPr>
            <w:r>
              <w:rPr>
                <w:rFonts w:ascii="Arial" w:cs="Arial" w:eastAsia="Arial" w:hAnsi="Arial"/>
                <w:sz w:val="13"/>
                <w:szCs w:val="13"/>
                <w:color w:val="auto"/>
              </w:rPr>
              <w:t>Business model test result: hold to collect contractual cash flows. Cash flow characteristics test result:</w:t>
            </w:r>
          </w:p>
        </w:tc>
        <w:tc>
          <w:tcPr>
            <w:tcW w:w="0" w:type="dxa"/>
            <w:vAlign w:val="bottom"/>
          </w:tcPr>
          <w:p>
            <w:pPr>
              <w:spacing w:after="0"/>
              <w:rPr>
                <w:sz w:val="1"/>
                <w:szCs w:val="1"/>
                <w:color w:val="auto"/>
              </w:rPr>
            </w:pPr>
          </w:p>
        </w:tc>
      </w:tr>
      <w:tr>
        <w:trPr>
          <w:trHeight w:val="90"/>
        </w:trPr>
        <w:tc>
          <w:tcPr>
            <w:tcW w:w="2300" w:type="dxa"/>
            <w:vAlign w:val="bottom"/>
            <w:tcBorders>
              <w:left w:val="single" w:sz="8" w:color="auto"/>
              <w:right w:val="single" w:sz="8" w:color="auto"/>
            </w:tcBorders>
            <w:vMerge w:val="continue"/>
          </w:tcPr>
          <w:p>
            <w:pPr>
              <w:spacing w:after="0"/>
              <w:rPr>
                <w:sz w:val="7"/>
                <w:szCs w:val="7"/>
                <w:color w:val="auto"/>
              </w:rPr>
            </w:pPr>
          </w:p>
        </w:tc>
        <w:tc>
          <w:tcPr>
            <w:tcW w:w="3060" w:type="dxa"/>
            <w:vAlign w:val="bottom"/>
            <w:tcBorders>
              <w:right w:val="single" w:sz="8" w:color="auto"/>
            </w:tcBorders>
            <w:vMerge w:val="continue"/>
          </w:tcPr>
          <w:p>
            <w:pPr>
              <w:spacing w:after="0"/>
              <w:rPr>
                <w:sz w:val="7"/>
                <w:szCs w:val="7"/>
                <w:color w:val="auto"/>
              </w:rPr>
            </w:pPr>
          </w:p>
        </w:tc>
        <w:tc>
          <w:tcPr>
            <w:tcW w:w="59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potential variability in future payments results in changes to fair value.</w:t>
            </w:r>
          </w:p>
        </w:tc>
        <w:tc>
          <w:tcPr>
            <w:tcW w:w="0" w:type="dxa"/>
            <w:vAlign w:val="bottom"/>
          </w:tcPr>
          <w:p>
            <w:pPr>
              <w:spacing w:after="0"/>
              <w:rPr>
                <w:sz w:val="1"/>
                <w:szCs w:val="1"/>
                <w:color w:val="auto"/>
              </w:rPr>
            </w:pPr>
          </w:p>
        </w:tc>
      </w:tr>
      <w:tr>
        <w:trPr>
          <w:trHeight w:val="66"/>
        </w:trPr>
        <w:tc>
          <w:tcPr>
            <w:tcW w:w="2300" w:type="dxa"/>
            <w:vAlign w:val="bottom"/>
            <w:tcBorders>
              <w:left w:val="single" w:sz="8" w:color="auto"/>
              <w:bottom w:val="single" w:sz="8" w:color="auto"/>
              <w:right w:val="single" w:sz="8" w:color="auto"/>
            </w:tcBorders>
          </w:tcPr>
          <w:p>
            <w:pPr>
              <w:spacing w:after="0"/>
              <w:rPr>
                <w:sz w:val="5"/>
                <w:szCs w:val="5"/>
                <w:color w:val="auto"/>
              </w:rPr>
            </w:pPr>
          </w:p>
        </w:tc>
        <w:tc>
          <w:tcPr>
            <w:tcW w:w="3060" w:type="dxa"/>
            <w:vAlign w:val="bottom"/>
            <w:tcBorders>
              <w:bottom w:val="single" w:sz="8" w:color="auto"/>
              <w:right w:val="single" w:sz="8" w:color="auto"/>
            </w:tcBorders>
          </w:tcPr>
          <w:p>
            <w:pPr>
              <w:spacing w:after="0"/>
              <w:rPr>
                <w:sz w:val="5"/>
                <w:szCs w:val="5"/>
                <w:color w:val="auto"/>
              </w:rPr>
            </w:pPr>
          </w:p>
        </w:tc>
        <w:tc>
          <w:tcPr>
            <w:tcW w:w="59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300" w:hanging="295"/>
        <w:spacing w:after="0"/>
        <w:tabs>
          <w:tab w:leader="none" w:pos="300" w:val="left"/>
        </w:tabs>
        <w:numPr>
          <w:ilvl w:val="0"/>
          <w:numId w:val="4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and cash equivalents</w:t>
      </w:r>
    </w:p>
    <w:p>
      <w:pPr>
        <w:spacing w:after="0" w:line="204"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Cash and cash equivalents include cash and highly liquid investments with original maturities of three months or less and are stated at fair value on initial recognition followed by amortised cost, which approximates fair value.</w:t>
      </w:r>
    </w:p>
    <w:p>
      <w:pPr>
        <w:spacing w:after="0" w:line="170" w:lineRule="exact"/>
        <w:rPr>
          <w:sz w:val="20"/>
          <w:szCs w:val="20"/>
          <w:color w:val="auto"/>
        </w:rPr>
      </w:pPr>
    </w:p>
    <w:p>
      <w:pPr>
        <w:ind w:left="300" w:hanging="295"/>
        <w:spacing w:after="0"/>
        <w:tabs>
          <w:tab w:leader="none" w:pos="300" w:val="left"/>
        </w:tabs>
        <w:numPr>
          <w:ilvl w:val="0"/>
          <w:numId w:val="4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Trade receivables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The Group's financial assets measured at amortised cost, the most significant of which are trade receivables and unbilled receivables, are subject to IFRS 9's expected credit loss model.</w:t>
      </w:r>
    </w:p>
    <w:p>
      <w:pPr>
        <w:spacing w:after="0" w:line="190" w:lineRule="exact"/>
        <w:rPr>
          <w:sz w:val="20"/>
          <w:szCs w:val="20"/>
          <w:color w:val="auto"/>
        </w:rPr>
      </w:pPr>
    </w:p>
    <w:p>
      <w:pPr>
        <w:jc w:val="both"/>
        <w:ind w:right="20"/>
        <w:spacing w:after="0" w:line="241" w:lineRule="auto"/>
        <w:rPr>
          <w:sz w:val="20"/>
          <w:szCs w:val="20"/>
          <w:color w:val="auto"/>
        </w:rPr>
      </w:pPr>
      <w:r>
        <w:rPr>
          <w:rFonts w:ascii="Arial" w:cs="Arial" w:eastAsia="Arial" w:hAnsi="Arial"/>
          <w:sz w:val="13"/>
          <w:szCs w:val="13"/>
          <w:color w:val="auto"/>
        </w:rPr>
        <w:t>For trade receivables and unbilled revenue, the Group applies the simplified approach permitted by IFRS 9, which requires expected lifetime losses to be recognised from initial recognition of the receivables. See notes 16, 26 and 34 for further details. The expected credit losses on these financial assets are estimated based on the Group’s historical credit loss experience, adjusted for factors that are specific to the debtors, general economic conditions and an assessment of both the current, as well as the forecast direction of conditions, at the reporting date.</w:t>
      </w:r>
    </w:p>
    <w:p>
      <w:pPr>
        <w:spacing w:after="0" w:line="186" w:lineRule="exact"/>
        <w:rPr>
          <w:sz w:val="20"/>
          <w:szCs w:val="20"/>
          <w:color w:val="auto"/>
        </w:rPr>
      </w:pPr>
    </w:p>
    <w:p>
      <w:pPr>
        <w:jc w:val="both"/>
        <w:ind w:right="20"/>
        <w:spacing w:after="0" w:line="241" w:lineRule="auto"/>
        <w:rPr>
          <w:sz w:val="20"/>
          <w:szCs w:val="20"/>
          <w:color w:val="auto"/>
        </w:rPr>
      </w:pPr>
      <w:r>
        <w:rPr>
          <w:rFonts w:ascii="Arial" w:cs="Arial" w:eastAsia="Arial" w:hAnsi="Arial"/>
          <w:sz w:val="13"/>
          <w:szCs w:val="13"/>
          <w:color w:val="auto"/>
        </w:rPr>
        <w:t>The Group writes off a financial asset when there is information indicating that the debtor is in severe financial difficulty and there is no realistic prospect of recovery, e.g. when the debtor has been placed under liquidation or has entered into bankruptcy proceedings. Financial assets written off may still be subject to enforcement activities under the Group’s recovery procedures, taking into account legal advice where appropriate. Any recoveries made are recognised in profit or loss.</w:t>
      </w:r>
    </w:p>
    <w:p>
      <w:pPr>
        <w:spacing w:after="0" w:line="172" w:lineRule="exact"/>
        <w:rPr>
          <w:sz w:val="20"/>
          <w:szCs w:val="20"/>
          <w:color w:val="auto"/>
        </w:rPr>
      </w:pPr>
    </w:p>
    <w:p>
      <w:pPr>
        <w:ind w:left="300" w:hanging="295"/>
        <w:spacing w:after="0"/>
        <w:tabs>
          <w:tab w:leader="none" w:pos="300" w:val="left"/>
        </w:tabs>
        <w:numPr>
          <w:ilvl w:val="0"/>
          <w:numId w:val="4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Current asset investments and non-current financial assets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The Group classifies its financial assets in the following measurement categories:</w:t>
      </w: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those to be measured subsequently at fair value through OCI</w:t>
      </w: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those to be measured subsequently at fair value through profit or loss and</w:t>
      </w: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those to be measured at amortised cost.</w:t>
      </w: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300"/>
          </w:cols>
          <w:pgMar w:left="300" w:top="696" w:right="29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classification depends on the entity's business model for managing financial assets and the contractual terms of the cash flows.</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For assets measured at fair value, gains and losses will either be recorded in profit or loss or OCI. For investments in equity instruments that are not held for trading, this will depend on whether the Group has made an irrevocable election at the time of initial recognition to account for the equity investment at fair value through other comprehensive income (FVOCI).</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Group reclassifies debt investments when and only when its business model for managing those assets changes.</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Purchases or sales of financial assets are recognised on trade date, the date the Group commits to purchase or sell the asset. Financial assets are de-recognised when the rights to receive cash flows from the financial assets have expired or have been transferred and the group has transferred substantially all the risks and rewards of ownership.</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Subsequent measurement of debt instruments depends on the Group's business model for managing the asset and the cash flow characteristics of the asset.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There are three measurement categories into which the Group classifies its financial instruments:</w:t>
      </w:r>
    </w:p>
    <w:p>
      <w:pPr>
        <w:spacing w:after="0" w:line="190" w:lineRule="exact"/>
        <w:rPr>
          <w:sz w:val="20"/>
          <w:szCs w:val="20"/>
          <w:color w:val="auto"/>
        </w:rPr>
      </w:pPr>
    </w:p>
    <w:p>
      <w:pPr>
        <w:jc w:val="both"/>
        <w:ind w:left="520" w:hanging="260"/>
        <w:spacing w:after="0" w:line="241"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color w:val="auto"/>
        </w:rPr>
        <w:t>Amortised cost: Assets that are held for collection of contractual cash flows where those cash flows represent solely payments of principal and interest are measured at amortised cost. Interest income from these financial assets is included in finance income using the effective interest rate method. Any gain or loss arising on derecognition is recognised directly in profit or loss and presented in other gains/(losses) together with foreign exchange gains and losses.</w:t>
      </w:r>
    </w:p>
    <w:p>
      <w:pPr>
        <w:spacing w:after="0" w:line="186" w:lineRule="exact"/>
        <w:rPr>
          <w:rFonts w:ascii="Arial" w:cs="Arial" w:eastAsia="Arial" w:hAnsi="Arial"/>
          <w:sz w:val="13"/>
          <w:szCs w:val="13"/>
          <w:color w:val="auto"/>
        </w:rPr>
      </w:pPr>
    </w:p>
    <w:p>
      <w:pPr>
        <w:jc w:val="both"/>
        <w:ind w:left="520" w:hanging="260"/>
        <w:spacing w:after="0"/>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color w:val="auto"/>
        </w:rPr>
        <w:t>FVOCI: Assets that are held for collection of contractual cash flows and for selling the financial assets, where the assets' cash flows represent solely payments of principal and interest, are measured at FVOCI. Movements in the carrying amount are taken through OCI, except for the recognition of impairment gains or loss. When the financial asset is derecognised, the cumulative gain or loss previously recognised in OCI is reclassified from equity to profit or loss and recognised in other gains/(losses). Interest income from these financial assets is included in finance income using the effective interest rate method.</w:t>
      </w:r>
    </w:p>
    <w:p>
      <w:pPr>
        <w:spacing w:after="0" w:line="187"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color w:val="auto"/>
        </w:rPr>
        <w:t>FVPL: Assets that do not meet the criteria for amortised cost or FVOCI are measured at FVPL. A gain or loss on a debt investment that is subsequently measured at FVPL is recognised in profit or loss.</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Group assesses on a forward-looking basis the expected credit losses associated with its debt instruments carried at amortised cost. The impairment methodology applied depends on whether there has been a significant increase in credit risk.</w:t>
      </w:r>
    </w:p>
    <w:p>
      <w:pPr>
        <w:spacing w:after="0" w:line="170" w:lineRule="exact"/>
        <w:rPr>
          <w:sz w:val="20"/>
          <w:szCs w:val="20"/>
          <w:color w:val="auto"/>
        </w:rPr>
      </w:pPr>
    </w:p>
    <w:p>
      <w:pPr>
        <w:ind w:left="300" w:hanging="295"/>
        <w:spacing w:after="0"/>
        <w:tabs>
          <w:tab w:leader="none" w:pos="300" w:val="left"/>
        </w:tabs>
        <w:numPr>
          <w:ilvl w:val="0"/>
          <w:numId w:val="5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Interest bearing loans and borrowings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Borrowings are initially recognised at fair value, net of transaction costs incurred. Borrowings are subsequently measured at amortised cost. Subsequent to initial recognition, current and non-current interest bearing loans and borrowings are measured at amortised cost with any difference between cost and redemption value being recognised in the Consolidated Statement of Profit and Loss over the period of the borrowings on an effective interest rate basis. Fees paid on the establishment of loan facilities are recognised as transaction costs of the loan to the extent that it is probable that some or all of the facility will be drawn down. In this case, the fee is deferred until draw down will occur. Where there is no evidence that it is probable that some or all of the facility will be drawn down, the fee is capitalised as a prepayment and amortised over the period of the facility to which it relates.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Borrowings are classified as current liabilities unless the Group has an unconditional right to defer settlement of the liability for at least 12 months after the reporting date.</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Borrowings are removed from the Consolidated Statement of Financial Position when the obligation specified in the contract is discharged, cancelled or expired. The difference between the carrying amount of a financial liability that has been extinguished or transferred to another party and the consideration paid, including any non-cash assets transferred or liabilities assumed, is recognised in profit or loss as other income or finance costs.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696"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5" w:lineRule="exact"/>
        <w:rPr>
          <w:sz w:val="20"/>
          <w:szCs w:val="20"/>
          <w:color w:val="auto"/>
        </w:rPr>
      </w:pPr>
    </w:p>
    <w:p>
      <w:pPr>
        <w:ind w:left="300" w:hanging="295"/>
        <w:spacing w:after="0"/>
        <w:tabs>
          <w:tab w:leader="none" w:pos="300" w:val="left"/>
        </w:tabs>
        <w:numPr>
          <w:ilvl w:val="0"/>
          <w:numId w:val="5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Derivative financial instruments and hedging</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Derivatives are initially recognised at fair value on the date a derivative contract is entered into and are subsequently remeasured to their fair value at the end of each reporting period. The accounting for subsequent changes in fair value depends on whether the derivative is designated as a hedging instrument, and if so, the nature of the item being hedged.</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Group designates certain derivatives as either:</w:t>
      </w:r>
    </w:p>
    <w:p>
      <w:pPr>
        <w:spacing w:after="0" w:line="189" w:lineRule="exact"/>
        <w:rPr>
          <w:sz w:val="20"/>
          <w:szCs w:val="20"/>
          <w:color w:val="auto"/>
        </w:rPr>
      </w:pPr>
    </w:p>
    <w:p>
      <w:pPr>
        <w:ind w:left="500" w:hanging="240"/>
        <w:spacing w:after="0"/>
        <w:tabs>
          <w:tab w:leader="none" w:pos="5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hedges of the fair value of recognised assets or liabilities or a firm commitment (fair value hedges)</w:t>
      </w:r>
    </w:p>
    <w:p>
      <w:pPr>
        <w:ind w:left="500" w:hanging="240"/>
        <w:spacing w:after="0"/>
        <w:tabs>
          <w:tab w:leader="none" w:pos="5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hedges of a particular risk associated with the cash flows of recognised assets and liabilities and highly probable forecast transactions (cash flow hedges), or</w:t>
      </w:r>
    </w:p>
    <w:p>
      <w:pPr>
        <w:ind w:left="500" w:hanging="240"/>
        <w:spacing w:after="0"/>
        <w:tabs>
          <w:tab w:leader="none" w:pos="5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hedges of a net investment in a foreign operation (net investment hedges).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The fair value of derivative financial instruments designated in hedge relationships are disclosed in </w:t>
      </w:r>
      <w:r>
        <w:rPr>
          <w:rFonts w:ascii="Arial" w:cs="Arial" w:eastAsia="Arial" w:hAnsi="Arial"/>
          <w:sz w:val="13"/>
          <w:szCs w:val="13"/>
          <w:i w:val="1"/>
          <w:iCs w:val="1"/>
          <w:color w:val="auto"/>
        </w:rPr>
        <w:t>note 26</w:t>
      </w:r>
      <w:r>
        <w:rPr>
          <w:rFonts w:ascii="Arial" w:cs="Arial" w:eastAsia="Arial" w:hAnsi="Arial"/>
          <w:sz w:val="13"/>
          <w:szCs w:val="13"/>
          <w:color w:val="auto"/>
        </w:rPr>
        <w:t xml:space="preserve"> – </w:t>
      </w:r>
      <w:r>
        <w:rPr>
          <w:rFonts w:ascii="Arial" w:cs="Arial" w:eastAsia="Arial" w:hAnsi="Arial"/>
          <w:sz w:val="13"/>
          <w:szCs w:val="13"/>
          <w:i w:val="1"/>
          <w:iCs w:val="1"/>
          <w:color w:val="auto"/>
        </w:rPr>
        <w:t>Financial instruments</w:t>
      </w:r>
      <w:r>
        <w:rPr>
          <w:rFonts w:ascii="Arial" w:cs="Arial" w:eastAsia="Arial" w:hAnsi="Arial"/>
          <w:sz w:val="13"/>
          <w:szCs w:val="13"/>
          <w:color w:val="auto"/>
        </w:rPr>
        <w:t>. Movements in the hedging reserve in shareholders' equity are shown in shareholders' equity. The full fair value of a hedging derivative is classified as a non-current asset or liability when the remaining maturity of the hedged item is more than 12 months. It is classified as a current asset or liability when the remaining maturity of the hedged item is less than 12 months.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 hedges that qualify for hedge accounting</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effective portion of changes in the fair value of derivatives that are designated and qualify as cash flow hedges is recognised in the cash flow hedge reserve within equity. The gain or loss relating to the ineffective portion is recognised immediately in profit or loss, within other gains/(losses).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Gains or losses relating to the effective portion of the change in intrinsic value of the options are recognised in the cash flow hedge reserve within equity. The changes in the time value of the options that relate to the hedged item are recognised within OCI in the costs of hedging reserve within equity.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When a hedging instrument expires or is sold or terminated, or when a hedge no longer meets the criteria for hedge accounting, any cumulative deferred gain or loss and deferred costs of hedging in equity at that time remains in equity until the forecast transaction occurs.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Changes in the fair value of any derivative instrument that does not qualify for hedge accounting are recognised immediately in profit or loss.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There were no open derivative transactions at 31 December 2020 or 31 December 2019.</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October 2015, the Group entered into an interest rate hedge in respect of the planned issuance of the Senior Notes in December 2015. The interest rate hedge matured in November 2015 when the interest rate on the Senior Notes was fixed. The interest rate hedge was considered an effective hedge on application of the provisions of IAS 39. The cash proceeds, representing the realised gain on the interest rate hedge were received on maturity in November 2015. The gain, representing the instrument’s fair value at maturity was recorded in Other Comprehensive Income and was being amortised to the Consolidated Statement of Profit and Loss over the term of the 2015 Senior Notes until their expiration in December 2020.</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The Group entered into an interest rate hedge in respect of the planned issuance of the 2020 Senior Notes in June 2020. The interest rate hedge matured in July 2020 when the interest rates on the 2020 Senior Notes was fixed. The interest rate hedge was considered an effective hedge on application of the provisions of IFRS 9. There was a cash outflow on maturity in July 2020 of $0.9 million, representing the realized loss on the interest rate hedge. The loss, representing the instrument’s fair value at maturity was recorded in Other Comprehensive Income and is being amortised to the Consolidated Statement of Profit and Loss over the term of the 2020 Senior Notes. See </w:t>
      </w:r>
      <w:r>
        <w:rPr>
          <w:rFonts w:ascii="Arial" w:cs="Arial" w:eastAsia="Arial" w:hAnsi="Arial"/>
          <w:sz w:val="13"/>
          <w:szCs w:val="13"/>
          <w:i w:val="1"/>
          <w:iCs w:val="1"/>
          <w:color w:val="auto"/>
        </w:rPr>
        <w:t>note 23 - Bank credit lines and loan facilities.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696"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Put and call options in unconsolidated entities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24 July 2020, the Group entered into an agreement to jointly establish a new company, Oncacare, with a third-party. The Group will own 49% of the voting share capital with the majority third party owning the remaining 51% voting share capital. The majority investor has the right to sell the 51% majority voting share capital exclusively to the Group in an eighteen month period, commencing 1 January 2023 and the Group also has the right to acquire the 51% majority voting share capital from August 1, 2025. These option arrangements are derivative financial instruments which have been bifurcated and separately recorded from the equity host contract as Oncacare is not part of the Group. These option arrangements will be measured at their fair value at each reporting period with changes in the fair value of the financial instruments recorded through the Consolidated Statement of Profit and Loss.</w:t>
      </w:r>
    </w:p>
    <w:p>
      <w:pPr>
        <w:spacing w:after="0" w:line="175" w:lineRule="exact"/>
        <w:rPr>
          <w:sz w:val="20"/>
          <w:szCs w:val="20"/>
          <w:color w:val="auto"/>
        </w:rPr>
      </w:pPr>
    </w:p>
    <w:p>
      <w:pPr>
        <w:ind w:left="280" w:hanging="275"/>
        <w:spacing w:after="0"/>
        <w:tabs>
          <w:tab w:leader="none" w:pos="280" w:val="left"/>
        </w:tabs>
        <w:numPr>
          <w:ilvl w:val="0"/>
          <w:numId w:val="5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Investments in subsidiaries - Company</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Investments in subsidiary undertakings are stated at cost less any accumulated impairment and are reviewed for impairment if there are indicators that the carrying value may not be recoverable.</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calculated on an expected credit loss basis.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capital</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Ordinary shares are classified as equity. Incremental costs directly attributable to the issue of new shares or options are shown in equity as a deduction, net of tax, from the proceeds.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Where ordinary shares are re-purchased by the Company they are cancelled and the nominal value of the shares is transferred to other undenominated capital within equity.</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Noncontrolling interest</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acquired a majority ownership interest in MeDiNova. Included in the purchase agreement were put and call option arrangements with the noncontrolling interest holders that required (put option) or enabled (call option) ICON to purchase the remaining minority ownership at a future date at a price dependant on the future results of the company. The noncontrolling interest was recorded at its fair value at the acquisition date in equity.</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financial liability for the noncontrolling interest put option was recognised at the present value of the amount payable upon exercise of the option. On initial recognition, the corresponding debit relating to the financial liability was made to equity attributable to the Company within the category 'put option in noncontrolling interest shares'. The financial asset relating to the call option meets the definition of a derivative under IFRS 9 and was measured at fair value through the profit and loss in accordance with IFRS 9.</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subsequent changes in the carrying amount of the financial liability that resulted from the remeasurement of the present value of the amount payable upon exercise of the noncontrolling interest put option were recognised in the profit or loss attributable to the Company.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carrying amount of noncontrolling interest changed due to allocations of profit or loss, allocations of changes in other comprehensive income and dividends declared for the reporting period. The noncontrolling interest continued to be recognised within equity until the noncontrolling interest call/put option was exercised.</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March 9, 2020 ICON exercised its option to call the outstanding shares in the noncontrolling interest to take 100% ownership of MeDiNova. On exercise of the call option, the noncontrolling interest was extinguished and a liability was recorded for the amount payable to the former noncontrolling interest holders. This liability was settled on July 17, 2020 for $43.9 million.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Method Investments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Company’s investments that are not consolidated are accounted for under the equity method if the Company exercises significant influence that is considered to be greater than minor. These investments are classified as equity method investments on the accompanying Consolidated Statements of Financial Position. The Company records its pro rata share of the earnings/losses of these investments in Share of equity method investments in the Consolidated Statements of Profit and Loss. The Company reviews these for impairment whenever events or changes in circumstances indicate that the carrying amounts may not be recoverable.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696" w:right="3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benefits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Pension and other post-employment benefits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Consolidated Statement of Profit and Loss as service is received from the relevant employees.</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Group’s net obligation in respect of the defined benefit pension plans is calculated separately by estimating the amount of future benefit that employees have earned in return for their service in the current and prior periods. This benefit is discounted to determine its present value, and the fair value of plan assets deducted. The discount rate used in respect of the UK scheme is the yield at the reporting date on the iBoxx corporate bond over 15 years plus 10 basis points. The discount rate used in respect of the Swiss scheme is determined by the Swiss corporate bond yields at the reporting date. The calculation is performed by a qualified actuary using the projected unit credit method. The net finance income/cost are recorded in operating costs in the Consolidated Statement of Profit and Loss. When benefits of a plan are improved, the portion of the increased benefit relating to the past service by employees is recognised as an expense in the Consolidated Statement of Profit and Loss on a straight line basis over the average period until the benefits become vested. To the extent that the benefits vest immediately, the expense is recognised immediately in the Consolidated Statement of Profit and Loss.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Share-based payments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Share-based payments comprise options to acquire ordinary shares in the Company, RSUs and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binomial lattice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year ended 31 December 2020 in relation to options, RSUs or PSUs that are expected to vest. The amount recognised as an expense is adjusted to reflect the actual number of share options, RSUs or PSUs that vest.</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Forfeitures are estimated on the date of grant and revised if actual or expected forfeiture activity differs materially from original estimates.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Share-based payment expense is recognised over the requisite service period for awards of equity instruments to employees based on the grant date fair value of those awards expected to ultimately vest.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 Share-based payments – Company</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The Company operates a number of share-based payment plans the details of which are presented in </w:t>
      </w:r>
      <w:r>
        <w:rPr>
          <w:rFonts w:ascii="Arial" w:cs="Arial" w:eastAsia="Arial" w:hAnsi="Arial"/>
          <w:sz w:val="13"/>
          <w:szCs w:val="13"/>
          <w:i w:val="1"/>
          <w:iCs w:val="1"/>
          <w:color w:val="auto"/>
        </w:rPr>
        <w:t>note 11 Share-based Payments</w:t>
      </w:r>
      <w:r>
        <w:rPr>
          <w:rFonts w:ascii="Arial" w:cs="Arial" w:eastAsia="Arial" w:hAnsi="Arial"/>
          <w:sz w:val="13"/>
          <w:szCs w:val="13"/>
          <w:color w:val="auto"/>
        </w:rPr>
        <w:t xml:space="preserve"> to the Consolidated Financial Statements. The share-based payment expense associated with the share-based payment plans is recognised by the entity which receives services in exchange for the share-based compensation.</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The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with certain subsidiaries, on the date of exercise the Company is paid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(see </w:t>
      </w:r>
      <w:r>
        <w:rPr>
          <w:rFonts w:ascii="Arial" w:cs="Arial" w:eastAsia="Arial" w:hAnsi="Arial"/>
          <w:sz w:val="13"/>
          <w:szCs w:val="13"/>
          <w:i w:val="1"/>
          <w:iCs w:val="1"/>
          <w:color w:val="auto"/>
        </w:rPr>
        <w:t>note 3 Investment in subsidiaries</w:t>
      </w:r>
      <w:r>
        <w:rPr>
          <w:rFonts w:ascii="Arial" w:cs="Arial" w:eastAsia="Arial" w:hAnsi="Arial"/>
          <w:sz w:val="13"/>
          <w:szCs w:val="13"/>
          <w:color w:val="auto"/>
        </w:rPr>
        <w:t>, to the Company only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696"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primarily earns revenues by providing a number of different services to its customers. These services, which are integral elements of the clinical development process, include clinical trials management, consulting, contract staffing, and laboratory services. Contracts range in duration from a number of months to several years.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Clinical trial service revenue</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Under IFRS 15,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pass-through/reimbursable expenses) adjusted downwards to reflect a realisable contract value. Revenue is recognised as the single performance obligation is satisfied. The progress towards completion for clinical service contracts is measured based on an input measure being project costs incurred as a proportion of total project costs (inclusive of third-party costs) at each reporting period.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Contracting services revenue</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Consulting services revenue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Consulting services contracts represent a single performance obligation satisfied over time. The transaction price is determined by reference to contract or change order value. Revenue is recognised as the performance obligation is satisfied. The progress towards completion for consulting contracts is measured based on total project inputs (time) at each reporting period.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Laboratory services revenue</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Revenue is recognised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recognised over time as the services are delivered to the customer based on the extent of progress towards completion of the performance obligation. The determination of the methodology to measure progress requires judgement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labour hours incurred. Revenue is recorded in the amount invoiced since that amounts corresponds to the value of the Company's performance and the transfer of value to the customer.</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Direct costs consist of compensation, associated employee benefits and share-based payments for project-related employees and other direct project-related costs. Reimbursable expenses are included within direct costs on adoption of IFRS 15.</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Other operating expenses consist of compensation, associated employee benefits and share-based payments for non-project-related employees and other indirect costs associated with the business.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Other operating expenses also include depreciation expense and the amortisation of intangible assets.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696"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credits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Consolidated Statement of Profit and Loss in the same periods in which the expenditure to which they relate to is charged as a deduction against the related expense.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income</w:t>
      </w:r>
    </w:p>
    <w:p>
      <w:pPr>
        <w:spacing w:after="0" w:line="204" w:lineRule="exact"/>
        <w:rPr>
          <w:sz w:val="20"/>
          <w:szCs w:val="20"/>
          <w:color w:val="auto"/>
        </w:rPr>
      </w:pPr>
    </w:p>
    <w:p>
      <w:pPr>
        <w:ind w:right="1120"/>
        <w:spacing w:after="0" w:line="244" w:lineRule="auto"/>
        <w:rPr>
          <w:sz w:val="20"/>
          <w:szCs w:val="20"/>
          <w:color w:val="auto"/>
        </w:rPr>
      </w:pPr>
      <w:r>
        <w:rPr>
          <w:rFonts w:ascii="Arial" w:cs="Arial" w:eastAsia="Arial" w:hAnsi="Arial"/>
          <w:sz w:val="13"/>
          <w:szCs w:val="13"/>
          <w:color w:val="auto"/>
        </w:rPr>
        <w:t xml:space="preserve">Interest income is recognised in the Consolidated Statement of Profit and Loss as it accrues using the effective interest rate method and includes interest receivable on investments. </w:t>
      </w:r>
      <w:r>
        <w:rPr>
          <w:rFonts w:ascii="Arial" w:cs="Arial" w:eastAsia="Arial" w:hAnsi="Arial"/>
          <w:sz w:val="13"/>
          <w:szCs w:val="13"/>
          <w:b w:val="1"/>
          <w:bCs w:val="1"/>
          <w:i w:val="1"/>
          <w:iCs w:val="1"/>
          <w:color w:val="auto"/>
        </w:rPr>
        <w:t>Financing expense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Financing expense comprises interest payable on borrowings calculated using the effective interest rate method, finance charges on leases, foreign exchange gains and losses on bank loans, non-cash finance charges in respect of contingent consideration and gains and losses on hedging instruments that are recognised in the Consolidated Statement of Profit and Loss.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Statement of Profit and Loss over the term the facility is available to the Group.</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in the Consolidated Statement of Profit and Loss represents the sum of income tax currently payable and deferred income tax.</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Income tax currently payable is based on taxable profit for the year. 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Deferred income tax assets and liabilities are measured at the tax rates that are expected to apply in the year when the asset is expected to be realised or the liability to be settled.</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Earnings per ordinary share</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696" w:right="3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Segment reporting</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and Chief Financial Officer (CFO) who together are considered the Group’s chief operating decision makers, the ‘CODM’. An operating segment’s operating results are reviewed regularly by the CODM to make decisions about resources to be allocated to the segment and assess its performance, and for which discrete financial information is available.</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Segment results that are reported to the CODM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168" w:lineRule="exact"/>
        <w:rPr>
          <w:sz w:val="20"/>
          <w:szCs w:val="20"/>
          <w:color w:val="auto"/>
        </w:rPr>
      </w:pPr>
    </w:p>
    <w:p>
      <w:pPr>
        <w:ind w:left="260" w:hanging="255"/>
        <w:spacing w:after="0"/>
        <w:tabs>
          <w:tab w:leader="none" w:pos="26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Segmental information</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 is a clinical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expertise and capability to conduct clinical trials in most major therapeutic areas on a global basis and has the operational flexibility to provide development services on a stand-alone basis or as part of an integrated “full service” solution. These services, which are integral elements of the clinical development process, include clinical trials management, biometric activities, consulting, imaging, contract staffing, informatics and laboratory services.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The Company determines and presents operating segments based on the information that is internally provided to the chief operating decision maker, together the ('CODM') in accordance with IFRS 8 </w:t>
      </w:r>
      <w:r>
        <w:rPr>
          <w:rFonts w:ascii="Arial" w:cs="Arial" w:eastAsia="Arial" w:hAnsi="Arial"/>
          <w:sz w:val="13"/>
          <w:szCs w:val="13"/>
          <w:i w:val="1"/>
          <w:iCs w:val="1"/>
          <w:color w:val="auto"/>
        </w:rPr>
        <w:t xml:space="preserve">Operating Segments. </w:t>
      </w:r>
      <w:r>
        <w:rPr>
          <w:rFonts w:ascii="Arial" w:cs="Arial" w:eastAsia="Arial" w:hAnsi="Arial"/>
          <w:sz w:val="13"/>
          <w:szCs w:val="13"/>
          <w:color w:val="auto"/>
        </w:rPr>
        <w:t>The Company determined that the CODM was comprised of the Chief Executive Officer and the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The Company operates as one business segment, which is the provision of outsourced development services on a global basis to the pharmaceutical, biotechnology and medical devices industries.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140 to 143 of this report. The Company's areas of operation outside of Ireland include the United States, United Kingdom, Austria, Belgium, Bulgaria, Czech Republic, France, Germany, Hungary, Israel, Latvia, Italy, Poland, Portugal, Romania, Russia, Serbia, Spain, Sweden, The Netherlands, Turkey, Ukraine, Canada, Argentina, Brazil, Chile, Colombia, Mexico, Peru, China (including Hong Kong), India, Japan, Singapore, South Korea, The Philippines, Taiwan, Thailand, Australia, New Zealand, and South Africa.</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696"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2"/>
          <w:szCs w:val="12"/>
          <w:b w:val="1"/>
          <w:bCs w:val="1"/>
          <w:color w:val="auto"/>
        </w:rPr>
        <w:t>Segmental information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Geographical segment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shd w:val="clear" w:color="auto" w:fill="CCEEFF"/>
          </w:tcPr>
          <w:p>
            <w:pPr>
              <w:spacing w:after="0"/>
              <w:rPr>
                <w:sz w:val="13"/>
                <w:szCs w:val="13"/>
                <w:color w:val="auto"/>
              </w:rPr>
            </w:pP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5260" w:type="dxa"/>
            <w:vAlign w:val="bottom"/>
            <w:tcBorders>
              <w:bottom w:val="single" w:sz="8" w:color="auto"/>
            </w:tcBorders>
            <w:shd w:val="clear" w:color="auto" w:fill="CCEEFF"/>
          </w:tcPr>
          <w:p>
            <w:pPr>
              <w:spacing w:after="0"/>
              <w:rPr>
                <w:sz w:val="14"/>
                <w:szCs w:val="14"/>
                <w:color w:val="auto"/>
              </w:rPr>
            </w:pPr>
          </w:p>
        </w:tc>
        <w:tc>
          <w:tcPr>
            <w:tcW w:w="49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260" w:type="dxa"/>
            <w:vAlign w:val="bottom"/>
          </w:tcPr>
          <w:p>
            <w:pPr>
              <w:spacing w:after="0"/>
              <w:rPr>
                <w:sz w:val="13"/>
                <w:szCs w:val="13"/>
                <w:color w:val="auto"/>
              </w:rPr>
            </w:pPr>
          </w:p>
        </w:tc>
        <w:tc>
          <w:tcPr>
            <w:tcW w:w="49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49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Ireland (1)*</w:t>
            </w:r>
          </w:p>
        </w:tc>
        <w:tc>
          <w:tcPr>
            <w:tcW w:w="4960" w:type="dxa"/>
            <w:vAlign w:val="bottom"/>
          </w:tcPr>
          <w:p>
            <w:pPr>
              <w:jc w:val="right"/>
              <w:ind w:right="416"/>
              <w:spacing w:after="0"/>
              <w:rPr>
                <w:sz w:val="20"/>
                <w:szCs w:val="20"/>
                <w:color w:val="auto"/>
              </w:rPr>
            </w:pPr>
            <w:r>
              <w:rPr>
                <w:rFonts w:ascii="Arial" w:cs="Arial" w:eastAsia="Arial" w:hAnsi="Arial"/>
                <w:sz w:val="13"/>
                <w:szCs w:val="13"/>
                <w:b w:val="1"/>
                <w:bCs w:val="1"/>
                <w:color w:val="auto"/>
              </w:rPr>
              <w:t>1,181,292</w:t>
            </w:r>
          </w:p>
        </w:tc>
        <w:tc>
          <w:tcPr>
            <w:tcW w:w="1060" w:type="dxa"/>
            <w:vAlign w:val="bottom"/>
          </w:tcPr>
          <w:p>
            <w:pPr>
              <w:jc w:val="right"/>
              <w:spacing w:after="0"/>
              <w:rPr>
                <w:sz w:val="20"/>
                <w:szCs w:val="20"/>
                <w:color w:val="auto"/>
              </w:rPr>
            </w:pPr>
            <w:r>
              <w:rPr>
                <w:rFonts w:ascii="Arial" w:cs="Arial" w:eastAsia="Arial" w:hAnsi="Arial"/>
                <w:sz w:val="13"/>
                <w:szCs w:val="13"/>
                <w:color w:val="auto"/>
              </w:rPr>
              <w:t>1,252,834</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 (19)*</w:t>
            </w:r>
          </w:p>
        </w:tc>
        <w:tc>
          <w:tcPr>
            <w:tcW w:w="49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416,884</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388,916</w:t>
            </w: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United States (1)*</w:t>
            </w:r>
          </w:p>
        </w:tc>
        <w:tc>
          <w:tcPr>
            <w:tcW w:w="4960" w:type="dxa"/>
            <w:vAlign w:val="bottom"/>
          </w:tcPr>
          <w:p>
            <w:pPr>
              <w:jc w:val="right"/>
              <w:ind w:right="416"/>
              <w:spacing w:after="0"/>
              <w:rPr>
                <w:sz w:val="20"/>
                <w:szCs w:val="20"/>
                <w:color w:val="auto"/>
              </w:rPr>
            </w:pPr>
            <w:r>
              <w:rPr>
                <w:rFonts w:ascii="Arial" w:cs="Arial" w:eastAsia="Arial" w:hAnsi="Arial"/>
                <w:sz w:val="13"/>
                <w:szCs w:val="13"/>
                <w:b w:val="1"/>
                <w:bCs w:val="1"/>
                <w:color w:val="auto"/>
              </w:rPr>
              <w:t>925,563</w:t>
            </w:r>
          </w:p>
        </w:tc>
        <w:tc>
          <w:tcPr>
            <w:tcW w:w="1060" w:type="dxa"/>
            <w:vAlign w:val="bottom"/>
          </w:tcPr>
          <w:p>
            <w:pPr>
              <w:jc w:val="right"/>
              <w:spacing w:after="0"/>
              <w:rPr>
                <w:sz w:val="20"/>
                <w:szCs w:val="20"/>
                <w:color w:val="auto"/>
              </w:rPr>
            </w:pPr>
            <w:r>
              <w:rPr>
                <w:rFonts w:ascii="Arial" w:cs="Arial" w:eastAsia="Arial" w:hAnsi="Arial"/>
                <w:sz w:val="13"/>
                <w:szCs w:val="13"/>
                <w:color w:val="auto"/>
              </w:rPr>
              <w:t>892,497</w:t>
            </w:r>
          </w:p>
        </w:tc>
      </w:tr>
      <w:tr>
        <w:trPr>
          <w:trHeight w:val="170"/>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 (20)*</w:t>
            </w:r>
          </w:p>
        </w:tc>
        <w:tc>
          <w:tcPr>
            <w:tcW w:w="4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273,549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271,592</w:t>
            </w:r>
          </w:p>
        </w:tc>
      </w:tr>
      <w:tr>
        <w:trPr>
          <w:trHeight w:val="192"/>
        </w:trPr>
        <w:tc>
          <w:tcPr>
            <w:tcW w:w="52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71"/>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2,797,288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2,805,839</w:t>
            </w:r>
          </w:p>
        </w:tc>
      </w:tr>
      <w:tr>
        <w:trPr>
          <w:trHeight w:val="229"/>
        </w:trPr>
        <w:tc>
          <w:tcPr>
            <w:tcW w:w="526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denotes number of countries</w:t>
            </w:r>
          </w:p>
        </w:tc>
        <w:tc>
          <w:tcPr>
            <w:tcW w:w="49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89"/>
        </w:trPr>
        <w:tc>
          <w:tcPr>
            <w:tcW w:w="5260" w:type="dxa"/>
            <w:vAlign w:val="bottom"/>
          </w:tcPr>
          <w:p>
            <w:pPr>
              <w:spacing w:after="0"/>
              <w:rPr>
                <w:sz w:val="7"/>
                <w:szCs w:val="7"/>
                <w:color w:val="auto"/>
              </w:rPr>
            </w:pPr>
          </w:p>
        </w:tc>
        <w:tc>
          <w:tcPr>
            <w:tcW w:w="6020" w:type="dxa"/>
            <w:vAlign w:val="bottom"/>
            <w:gridSpan w:val="2"/>
          </w:tcPr>
          <w:p>
            <w:pPr>
              <w:spacing w:after="0"/>
              <w:rPr>
                <w:sz w:val="7"/>
                <w:szCs w:val="7"/>
                <w:color w:val="auto"/>
              </w:rPr>
            </w:pPr>
          </w:p>
        </w:tc>
      </w:tr>
      <w:tr>
        <w:trPr>
          <w:trHeight w:val="127"/>
        </w:trPr>
        <w:tc>
          <w:tcPr>
            <w:tcW w:w="5260" w:type="dxa"/>
            <w:vAlign w:val="bottom"/>
            <w:shd w:val="clear" w:color="auto" w:fill="CCEEFF"/>
          </w:tcPr>
          <w:p>
            <w:pPr>
              <w:spacing w:after="0"/>
              <w:rPr>
                <w:sz w:val="11"/>
                <w:szCs w:val="11"/>
                <w:color w:val="auto"/>
              </w:rPr>
            </w:pPr>
          </w:p>
        </w:tc>
        <w:tc>
          <w:tcPr>
            <w:tcW w:w="60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5260" w:type="dxa"/>
            <w:vAlign w:val="bottom"/>
            <w:tcBorders>
              <w:bottom w:val="single" w:sz="8" w:color="auto"/>
            </w:tcBorders>
            <w:shd w:val="clear" w:color="auto" w:fill="CCEEFF"/>
          </w:tcPr>
          <w:p>
            <w:pPr>
              <w:spacing w:after="0"/>
              <w:rPr>
                <w:sz w:val="14"/>
                <w:szCs w:val="14"/>
                <w:color w:val="auto"/>
              </w:rPr>
            </w:pPr>
          </w:p>
        </w:tc>
        <w:tc>
          <w:tcPr>
            <w:tcW w:w="49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260" w:type="dxa"/>
            <w:vAlign w:val="bottom"/>
          </w:tcPr>
          <w:p>
            <w:pPr>
              <w:spacing w:after="0"/>
              <w:rPr>
                <w:sz w:val="13"/>
                <w:szCs w:val="13"/>
                <w:color w:val="auto"/>
              </w:rPr>
            </w:pPr>
          </w:p>
        </w:tc>
        <w:tc>
          <w:tcPr>
            <w:tcW w:w="49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assets*</w:t>
            </w:r>
          </w:p>
        </w:tc>
        <w:tc>
          <w:tcPr>
            <w:tcW w:w="49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Ireland</w:t>
            </w:r>
          </w:p>
        </w:tc>
        <w:tc>
          <w:tcPr>
            <w:tcW w:w="4960" w:type="dxa"/>
            <w:vAlign w:val="bottom"/>
          </w:tcPr>
          <w:p>
            <w:pPr>
              <w:jc w:val="right"/>
              <w:ind w:right="416"/>
              <w:spacing w:after="0"/>
              <w:rPr>
                <w:sz w:val="20"/>
                <w:szCs w:val="20"/>
                <w:color w:val="auto"/>
              </w:rPr>
            </w:pPr>
            <w:r>
              <w:rPr>
                <w:rFonts w:ascii="Arial" w:cs="Arial" w:eastAsia="Arial" w:hAnsi="Arial"/>
                <w:sz w:val="13"/>
                <w:szCs w:val="13"/>
                <w:b w:val="1"/>
                <w:bCs w:val="1"/>
                <w:color w:val="auto"/>
              </w:rPr>
              <w:t>257,880</w:t>
            </w:r>
          </w:p>
        </w:tc>
        <w:tc>
          <w:tcPr>
            <w:tcW w:w="1060" w:type="dxa"/>
            <w:vAlign w:val="bottom"/>
          </w:tcPr>
          <w:p>
            <w:pPr>
              <w:jc w:val="right"/>
              <w:spacing w:after="0"/>
              <w:rPr>
                <w:sz w:val="20"/>
                <w:szCs w:val="20"/>
                <w:color w:val="auto"/>
              </w:rPr>
            </w:pPr>
            <w:r>
              <w:rPr>
                <w:rFonts w:ascii="Arial" w:cs="Arial" w:eastAsia="Arial" w:hAnsi="Arial"/>
                <w:sz w:val="13"/>
                <w:szCs w:val="13"/>
                <w:color w:val="auto"/>
              </w:rPr>
              <w:t>242,761</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49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482,416</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419,101</w:t>
            </w: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4960" w:type="dxa"/>
            <w:vAlign w:val="bottom"/>
          </w:tcPr>
          <w:p>
            <w:pPr>
              <w:jc w:val="right"/>
              <w:ind w:right="416"/>
              <w:spacing w:after="0"/>
              <w:rPr>
                <w:sz w:val="20"/>
                <w:szCs w:val="20"/>
                <w:color w:val="auto"/>
              </w:rPr>
            </w:pPr>
            <w:r>
              <w:rPr>
                <w:rFonts w:ascii="Arial" w:cs="Arial" w:eastAsia="Arial" w:hAnsi="Arial"/>
                <w:sz w:val="13"/>
                <w:szCs w:val="13"/>
                <w:b w:val="1"/>
                <w:bCs w:val="1"/>
                <w:color w:val="auto"/>
              </w:rPr>
              <w:t>538,280</w:t>
            </w:r>
          </w:p>
        </w:tc>
        <w:tc>
          <w:tcPr>
            <w:tcW w:w="1060" w:type="dxa"/>
            <w:vAlign w:val="bottom"/>
          </w:tcPr>
          <w:p>
            <w:pPr>
              <w:jc w:val="right"/>
              <w:spacing w:after="0"/>
              <w:rPr>
                <w:sz w:val="20"/>
                <w:szCs w:val="20"/>
                <w:color w:val="auto"/>
              </w:rPr>
            </w:pPr>
            <w:r>
              <w:rPr>
                <w:rFonts w:ascii="Arial" w:cs="Arial" w:eastAsia="Arial" w:hAnsi="Arial"/>
                <w:sz w:val="13"/>
                <w:szCs w:val="13"/>
                <w:color w:val="auto"/>
              </w:rPr>
              <w:t>556,558</w:t>
            </w:r>
          </w:p>
        </w:tc>
      </w:tr>
      <w:tr>
        <w:trPr>
          <w:trHeight w:val="170"/>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4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73,143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85,251</w:t>
            </w:r>
          </w:p>
        </w:tc>
      </w:tr>
      <w:tr>
        <w:trPr>
          <w:trHeight w:val="150"/>
        </w:trPr>
        <w:tc>
          <w:tcPr>
            <w:tcW w:w="52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1"/>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1,351,719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1,303,671</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Major customers</w:t>
      </w:r>
    </w:p>
    <w:p>
      <w:pPr>
        <w:spacing w:after="0" w:line="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Revenue from our largest customer for year ended 31 December 2020 was 12.1% compared to 12.5% for the year ended 31 December 2019. The second largest customer accounted for less than 10% of the Group's revenue for the year ended 31 December 2020 compared to 10.2% of the Group's revenue for the year ended December 31,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tcPr>
          <w:p>
            <w:pPr>
              <w:spacing w:after="0"/>
              <w:rPr>
                <w:sz w:val="20"/>
                <w:szCs w:val="20"/>
                <w:color w:val="auto"/>
              </w:rPr>
            </w:pPr>
            <w:r>
              <w:rPr>
                <w:rFonts w:ascii="Arial" w:cs="Arial" w:eastAsia="Arial" w:hAnsi="Arial"/>
                <w:sz w:val="13"/>
                <w:szCs w:val="13"/>
                <w:b w:val="1"/>
                <w:bCs w:val="1"/>
                <w:color w:val="auto"/>
              </w:rPr>
              <w:t>3.  Profit before taxation</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0"/>
        </w:trPr>
        <w:tc>
          <w:tcPr>
            <w:tcW w:w="4060" w:type="dxa"/>
            <w:vAlign w:val="bottom"/>
          </w:tcPr>
          <w:p>
            <w:pPr>
              <w:spacing w:after="0"/>
              <w:rPr>
                <w:sz w:val="20"/>
                <w:szCs w:val="20"/>
                <w:color w:val="auto"/>
              </w:rPr>
            </w:pPr>
            <w:r>
              <w:rPr>
                <w:rFonts w:ascii="Arial" w:cs="Arial" w:eastAsia="Arial" w:hAnsi="Arial"/>
                <w:sz w:val="13"/>
                <w:szCs w:val="13"/>
                <w:color w:val="auto"/>
              </w:rPr>
              <w:t>Profit before taxation is stated after charging the following:</w:t>
            </w: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9"/>
        </w:trPr>
        <w:tc>
          <w:tcPr>
            <w:tcW w:w="4060" w:type="dxa"/>
            <w:vAlign w:val="bottom"/>
          </w:tcPr>
          <w:p>
            <w:pPr>
              <w:spacing w:after="0"/>
              <w:rPr>
                <w:sz w:val="7"/>
                <w:szCs w:val="7"/>
                <w:color w:val="auto"/>
              </w:rPr>
            </w:pPr>
          </w:p>
        </w:tc>
        <w:tc>
          <w:tcPr>
            <w:tcW w:w="2980" w:type="dxa"/>
            <w:vAlign w:val="bottom"/>
            <w:gridSpan w:val="2"/>
          </w:tcPr>
          <w:p>
            <w:pPr>
              <w:spacing w:after="0"/>
              <w:rPr>
                <w:sz w:val="7"/>
                <w:szCs w:val="7"/>
                <w:color w:val="auto"/>
              </w:rPr>
            </w:pPr>
          </w:p>
        </w:tc>
        <w:tc>
          <w:tcPr>
            <w:tcW w:w="740" w:type="dxa"/>
            <w:vAlign w:val="bottom"/>
          </w:tcPr>
          <w:p>
            <w:pPr>
              <w:spacing w:after="0"/>
              <w:rPr>
                <w:sz w:val="7"/>
                <w:szCs w:val="7"/>
                <w:color w:val="auto"/>
              </w:rPr>
            </w:pPr>
          </w:p>
        </w:tc>
        <w:tc>
          <w:tcPr>
            <w:tcW w:w="2840" w:type="dxa"/>
            <w:vAlign w:val="bottom"/>
            <w:gridSpan w:val="2"/>
          </w:tcPr>
          <w:p>
            <w:pPr>
              <w:spacing w:after="0"/>
              <w:rPr>
                <w:sz w:val="7"/>
                <w:szCs w:val="7"/>
                <w:color w:val="auto"/>
              </w:rPr>
            </w:pPr>
          </w:p>
        </w:tc>
        <w:tc>
          <w:tcPr>
            <w:tcW w:w="660" w:type="dxa"/>
            <w:vAlign w:val="bottom"/>
          </w:tcPr>
          <w:p>
            <w:pPr>
              <w:spacing w:after="0"/>
              <w:rPr>
                <w:sz w:val="7"/>
                <w:szCs w:val="7"/>
                <w:color w:val="auto"/>
              </w:rPr>
            </w:pPr>
          </w:p>
        </w:tc>
      </w:tr>
      <w:tr>
        <w:trPr>
          <w:trHeight w:val="169"/>
        </w:trPr>
        <w:tc>
          <w:tcPr>
            <w:tcW w:w="4060" w:type="dxa"/>
            <w:vAlign w:val="bottom"/>
            <w:shd w:val="clear" w:color="auto" w:fill="CCEEFF"/>
          </w:tcPr>
          <w:p>
            <w:pPr>
              <w:spacing w:after="0"/>
              <w:rPr>
                <w:sz w:val="14"/>
                <w:szCs w:val="14"/>
                <w:color w:val="auto"/>
              </w:rPr>
            </w:pPr>
          </w:p>
        </w:tc>
        <w:tc>
          <w:tcPr>
            <w:tcW w:w="2980" w:type="dxa"/>
            <w:vAlign w:val="bottom"/>
            <w:tcBorders>
              <w:bottom w:val="single" w:sz="8" w:color="auto"/>
            </w:tcBorders>
            <w:gridSpan w:val="2"/>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Year ended 31 December 2020</w:t>
            </w:r>
          </w:p>
        </w:tc>
        <w:tc>
          <w:tcPr>
            <w:tcW w:w="740" w:type="dxa"/>
            <w:vAlign w:val="bottom"/>
            <w:tcBorders>
              <w:bottom w:val="single" w:sz="8" w:color="auto"/>
            </w:tcBorders>
            <w:shd w:val="clear" w:color="auto" w:fill="CCEEFF"/>
          </w:tcPr>
          <w:p>
            <w:pPr>
              <w:spacing w:after="0"/>
              <w:rPr>
                <w:sz w:val="14"/>
                <w:szCs w:val="14"/>
                <w:color w:val="auto"/>
              </w:rPr>
            </w:pPr>
          </w:p>
        </w:tc>
        <w:tc>
          <w:tcPr>
            <w:tcW w:w="2840" w:type="dxa"/>
            <w:vAlign w:val="bottom"/>
            <w:tcBorders>
              <w:bottom w:val="single" w:sz="8" w:color="auto"/>
            </w:tcBorders>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Year ended 31 December 2019</w:t>
            </w:r>
          </w:p>
        </w:tc>
        <w:tc>
          <w:tcPr>
            <w:tcW w:w="660" w:type="dxa"/>
            <w:vAlign w:val="bottom"/>
            <w:tcBorders>
              <w:bottom w:val="single" w:sz="8" w:color="auto"/>
            </w:tcBorders>
            <w:shd w:val="clear" w:color="auto" w:fill="CCEEFF"/>
          </w:tcPr>
          <w:p>
            <w:pPr>
              <w:spacing w:after="0"/>
              <w:rPr>
                <w:sz w:val="14"/>
                <w:szCs w:val="14"/>
                <w:color w:val="auto"/>
              </w:rPr>
            </w:pPr>
          </w:p>
        </w:tc>
      </w:tr>
      <w:tr>
        <w:trPr>
          <w:trHeight w:val="160"/>
        </w:trPr>
        <w:tc>
          <w:tcPr>
            <w:tcW w:w="40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Statutory auditor</w:t>
            </w:r>
          </w:p>
        </w:tc>
        <w:tc>
          <w:tcPr>
            <w:tcW w:w="16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Affiliated firms</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Total</w:t>
            </w:r>
          </w:p>
        </w:tc>
        <w:tc>
          <w:tcPr>
            <w:tcW w:w="1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Statutory auditor</w:t>
            </w:r>
          </w:p>
        </w:tc>
        <w:tc>
          <w:tcPr>
            <w:tcW w:w="15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Affiliated firms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Total</w:t>
            </w:r>
          </w:p>
        </w:tc>
      </w:tr>
      <w:tr>
        <w:trPr>
          <w:trHeight w:val="161"/>
        </w:trPr>
        <w:tc>
          <w:tcPr>
            <w:tcW w:w="406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64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$’000</w:t>
            </w:r>
          </w:p>
        </w:tc>
        <w:tc>
          <w:tcPr>
            <w:tcW w:w="15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$’000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69"/>
        </w:trPr>
        <w:tc>
          <w:tcPr>
            <w:tcW w:w="4060" w:type="dxa"/>
            <w:vAlign w:val="bottom"/>
          </w:tcPr>
          <w:p>
            <w:pPr>
              <w:ind w:left="20"/>
              <w:spacing w:after="0"/>
              <w:rPr>
                <w:sz w:val="20"/>
                <w:szCs w:val="20"/>
                <w:color w:val="auto"/>
              </w:rPr>
            </w:pPr>
            <w:r>
              <w:rPr>
                <w:rFonts w:ascii="Arial" w:cs="Arial" w:eastAsia="Arial" w:hAnsi="Arial"/>
                <w:sz w:val="13"/>
                <w:szCs w:val="13"/>
                <w:b w:val="1"/>
                <w:bCs w:val="1"/>
                <w:color w:val="auto"/>
              </w:rPr>
              <w:t>Auditor's remuneration:</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0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Audit fees </w:t>
            </w:r>
            <w:r>
              <w:rPr>
                <w:rFonts w:ascii="Arial" w:cs="Arial" w:eastAsia="Arial" w:hAnsi="Arial"/>
                <w:sz w:val="16"/>
                <w:szCs w:val="16"/>
                <w:color w:val="auto"/>
                <w:vertAlign w:val="superscript"/>
              </w:rPr>
              <w:t>(1) (2)</w:t>
            </w:r>
          </w:p>
        </w:tc>
        <w:tc>
          <w:tcPr>
            <w:tcW w:w="13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1,357</w:t>
            </w:r>
          </w:p>
        </w:tc>
        <w:tc>
          <w:tcPr>
            <w:tcW w:w="164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1,357</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1,345</w:t>
            </w:r>
          </w:p>
        </w:tc>
        <w:tc>
          <w:tcPr>
            <w:tcW w:w="156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w:t>
            </w:r>
          </w:p>
        </w:tc>
      </w:tr>
      <w:tr>
        <w:trPr>
          <w:trHeight w:val="170"/>
        </w:trPr>
        <w:tc>
          <w:tcPr>
            <w:tcW w:w="406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Other assurance fees </w:t>
            </w:r>
            <w:r>
              <w:rPr>
                <w:rFonts w:ascii="Arial" w:cs="Arial" w:eastAsia="Arial" w:hAnsi="Arial"/>
                <w:sz w:val="16"/>
                <w:szCs w:val="16"/>
                <w:color w:val="auto"/>
                <w:vertAlign w:val="superscript"/>
              </w:rPr>
              <w:t>(3)</w:t>
            </w:r>
          </w:p>
        </w:tc>
        <w:tc>
          <w:tcPr>
            <w:tcW w:w="1340" w:type="dxa"/>
            <w:vAlign w:val="bottom"/>
          </w:tcPr>
          <w:p>
            <w:pPr>
              <w:jc w:val="right"/>
              <w:ind w:right="116"/>
              <w:spacing w:after="0"/>
              <w:rPr>
                <w:sz w:val="20"/>
                <w:szCs w:val="20"/>
                <w:color w:val="auto"/>
              </w:rPr>
            </w:pPr>
            <w:r>
              <w:rPr>
                <w:rFonts w:ascii="Arial" w:cs="Arial" w:eastAsia="Arial" w:hAnsi="Arial"/>
                <w:sz w:val="13"/>
                <w:szCs w:val="13"/>
                <w:b w:val="1"/>
                <w:bCs w:val="1"/>
                <w:color w:val="auto"/>
              </w:rPr>
              <w:t>—</w:t>
            </w:r>
          </w:p>
        </w:tc>
        <w:tc>
          <w:tcPr>
            <w:tcW w:w="1640" w:type="dxa"/>
            <w:vAlign w:val="bottom"/>
          </w:tcPr>
          <w:p>
            <w:pPr>
              <w:jc w:val="right"/>
              <w:ind w:right="576"/>
              <w:spacing w:after="0"/>
              <w:rPr>
                <w:sz w:val="20"/>
                <w:szCs w:val="20"/>
                <w:color w:val="auto"/>
              </w:rPr>
            </w:pPr>
            <w:r>
              <w:rPr>
                <w:rFonts w:ascii="Arial" w:cs="Arial" w:eastAsia="Arial" w:hAnsi="Arial"/>
                <w:sz w:val="13"/>
                <w:szCs w:val="13"/>
                <w:b w:val="1"/>
                <w:bCs w:val="1"/>
                <w:color w:val="auto"/>
              </w:rPr>
              <w:t>81</w:t>
            </w: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rPr>
              <w:t>81</w:t>
            </w:r>
          </w:p>
        </w:tc>
        <w:tc>
          <w:tcPr>
            <w:tcW w:w="1280" w:type="dxa"/>
            <w:vAlign w:val="bottom"/>
          </w:tcPr>
          <w:p>
            <w:pPr>
              <w:jc w:val="right"/>
              <w:ind w:right="196"/>
              <w:spacing w:after="0"/>
              <w:rPr>
                <w:sz w:val="20"/>
                <w:szCs w:val="20"/>
                <w:color w:val="auto"/>
              </w:rPr>
            </w:pPr>
            <w:r>
              <w:rPr>
                <w:rFonts w:ascii="Arial" w:cs="Arial" w:eastAsia="Arial" w:hAnsi="Arial"/>
                <w:sz w:val="13"/>
                <w:szCs w:val="13"/>
                <w:color w:val="auto"/>
              </w:rPr>
              <w:t>30</w:t>
            </w:r>
          </w:p>
        </w:tc>
        <w:tc>
          <w:tcPr>
            <w:tcW w:w="1560" w:type="dxa"/>
            <w:vAlign w:val="bottom"/>
          </w:tcPr>
          <w:p>
            <w:pPr>
              <w:jc w:val="right"/>
              <w:ind w:right="556"/>
              <w:spacing w:after="0"/>
              <w:rPr>
                <w:sz w:val="20"/>
                <w:szCs w:val="20"/>
                <w:color w:val="auto"/>
              </w:rPr>
            </w:pPr>
            <w:r>
              <w:rPr>
                <w:rFonts w:ascii="Arial" w:cs="Arial" w:eastAsia="Arial" w:hAnsi="Arial"/>
                <w:sz w:val="13"/>
                <w:szCs w:val="13"/>
                <w:color w:val="auto"/>
              </w:rPr>
              <w:t>103</w:t>
            </w:r>
          </w:p>
        </w:tc>
        <w:tc>
          <w:tcPr>
            <w:tcW w:w="660" w:type="dxa"/>
            <w:vAlign w:val="bottom"/>
          </w:tcPr>
          <w:p>
            <w:pPr>
              <w:jc w:val="right"/>
              <w:spacing w:after="0"/>
              <w:rPr>
                <w:sz w:val="20"/>
                <w:szCs w:val="20"/>
                <w:color w:val="auto"/>
              </w:rPr>
            </w:pPr>
            <w:r>
              <w:rPr>
                <w:rFonts w:ascii="Arial" w:cs="Arial" w:eastAsia="Arial" w:hAnsi="Arial"/>
                <w:sz w:val="13"/>
                <w:szCs w:val="13"/>
                <w:color w:val="auto"/>
              </w:rPr>
              <w:t>133</w:t>
            </w:r>
          </w:p>
        </w:tc>
      </w:tr>
      <w:tr>
        <w:trPr>
          <w:trHeight w:val="170"/>
        </w:trPr>
        <w:tc>
          <w:tcPr>
            <w:tcW w:w="40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Tax advisory fees </w:t>
            </w:r>
            <w:r>
              <w:rPr>
                <w:rFonts w:ascii="Arial" w:cs="Arial" w:eastAsia="Arial" w:hAnsi="Arial"/>
                <w:sz w:val="16"/>
                <w:szCs w:val="16"/>
                <w:color w:val="auto"/>
                <w:vertAlign w:val="superscript"/>
              </w:rPr>
              <w:t>(4)</w:t>
            </w:r>
          </w:p>
        </w:tc>
        <w:tc>
          <w:tcPr>
            <w:tcW w:w="13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405</w:t>
            </w:r>
          </w:p>
        </w:tc>
        <w:tc>
          <w:tcPr>
            <w:tcW w:w="164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360</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765</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633</w:t>
            </w:r>
          </w:p>
        </w:tc>
        <w:tc>
          <w:tcPr>
            <w:tcW w:w="156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222</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r>
      <w:tr>
        <w:trPr>
          <w:trHeight w:val="170"/>
        </w:trPr>
        <w:tc>
          <w:tcPr>
            <w:tcW w:w="4060" w:type="dxa"/>
            <w:vAlign w:val="bottom"/>
            <w:tcBorders>
              <w:bottom w:val="single" w:sz="8" w:color="auto"/>
            </w:tcBorders>
          </w:tcPr>
          <w:p>
            <w:pPr>
              <w:ind w:left="20"/>
              <w:spacing w:after="0" w:line="170" w:lineRule="exact"/>
              <w:rPr>
                <w:sz w:val="20"/>
                <w:szCs w:val="20"/>
                <w:color w:val="auto"/>
              </w:rPr>
            </w:pPr>
            <w:r>
              <w:rPr>
                <w:rFonts w:ascii="Arial" w:cs="Arial" w:eastAsia="Arial" w:hAnsi="Arial"/>
                <w:sz w:val="13"/>
                <w:szCs w:val="13"/>
                <w:color w:val="auto"/>
              </w:rPr>
              <w:t xml:space="preserve">Other non-audit fees </w:t>
            </w:r>
            <w:r>
              <w:rPr>
                <w:rFonts w:ascii="Arial" w:cs="Arial" w:eastAsia="Arial" w:hAnsi="Arial"/>
                <w:sz w:val="16"/>
                <w:szCs w:val="16"/>
                <w:color w:val="auto"/>
                <w:vertAlign w:val="superscript"/>
              </w:rPr>
              <w:t>(5)</w:t>
            </w: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204</w:t>
            </w:r>
          </w:p>
        </w:tc>
        <w:tc>
          <w:tcPr>
            <w:tcW w:w="16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7</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211</w:t>
            </w: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384</w:t>
            </w: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w:t>
            </w:r>
          </w:p>
        </w:tc>
      </w:tr>
      <w:tr>
        <w:trPr>
          <w:trHeight w:val="162"/>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fees</w:t>
            </w:r>
          </w:p>
        </w:tc>
        <w:tc>
          <w:tcPr>
            <w:tcW w:w="1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1,966</w:t>
            </w:r>
          </w:p>
        </w:tc>
        <w:tc>
          <w:tcPr>
            <w:tcW w:w="164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448</w:t>
            </w:r>
          </w:p>
        </w:tc>
        <w:tc>
          <w:tcPr>
            <w:tcW w:w="7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2,414</w:t>
            </w: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2,392</w:t>
            </w:r>
          </w:p>
        </w:tc>
        <w:tc>
          <w:tcPr>
            <w:tcW w:w="15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325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2,717</w:t>
            </w:r>
          </w:p>
        </w:tc>
      </w:tr>
    </w:tbl>
    <w:p>
      <w:pPr>
        <w:spacing w:after="0" w:line="26" w:lineRule="exact"/>
        <w:rPr>
          <w:sz w:val="20"/>
          <w:szCs w:val="20"/>
          <w:color w:val="auto"/>
        </w:rPr>
      </w:pPr>
    </w:p>
    <w:p>
      <w:pPr>
        <w:ind w:left="260" w:hanging="191"/>
        <w:spacing w:after="0"/>
        <w:tabs>
          <w:tab w:leader="none" w:pos="260" w:val="left"/>
        </w:tabs>
        <w:numPr>
          <w:ilvl w:val="0"/>
          <w:numId w:val="62"/>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Audit fees include annual audit fees for ICON plc.</w:t>
      </w:r>
    </w:p>
    <w:p>
      <w:pPr>
        <w:ind w:left="260" w:hanging="191"/>
        <w:spacing w:after="0" w:line="186" w:lineRule="auto"/>
        <w:tabs>
          <w:tab w:leader="none" w:pos="260" w:val="left"/>
        </w:tabs>
        <w:numPr>
          <w:ilvl w:val="0"/>
          <w:numId w:val="62"/>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Audit fees for the Company for the year are set at $30,000 (2019: $30,000)</w:t>
      </w:r>
    </w:p>
    <w:p>
      <w:pPr>
        <w:ind w:left="260" w:hanging="191"/>
        <w:spacing w:after="0" w:line="189" w:lineRule="auto"/>
        <w:tabs>
          <w:tab w:leader="none" w:pos="260" w:val="left"/>
        </w:tabs>
        <w:numPr>
          <w:ilvl w:val="0"/>
          <w:numId w:val="62"/>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Other assurance fees principally consist of fees for the audit of remaining subsidiaries and fees for the audit of the financial statements of employee benefit plans.</w:t>
      </w:r>
    </w:p>
    <w:p>
      <w:pPr>
        <w:ind w:left="260" w:hanging="191"/>
        <w:spacing w:after="0" w:line="189" w:lineRule="auto"/>
        <w:tabs>
          <w:tab w:leader="none" w:pos="260" w:val="left"/>
        </w:tabs>
        <w:numPr>
          <w:ilvl w:val="0"/>
          <w:numId w:val="62"/>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Tax advisory fees are for tax compliance and tax advisory services.</w:t>
      </w:r>
    </w:p>
    <w:p>
      <w:pPr>
        <w:ind w:left="260" w:hanging="191"/>
        <w:spacing w:after="0" w:line="189" w:lineRule="auto"/>
        <w:tabs>
          <w:tab w:leader="none" w:pos="260" w:val="left"/>
        </w:tabs>
        <w:numPr>
          <w:ilvl w:val="0"/>
          <w:numId w:val="62"/>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Other non-audit fees principally consist of fees for financial due diligence.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696"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b w:val="1"/>
          <w:bCs w:val="1"/>
          <w:color w:val="auto"/>
        </w:rPr>
        <w:t>Profit before taxation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Directors’ remuneration disclosures as required by Section 305 of the Companies Act 2014 are set out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80" w:type="dxa"/>
            <w:vAlign w:val="bottom"/>
            <w:shd w:val="clear" w:color="auto" w:fill="CCEEFF"/>
          </w:tcPr>
          <w:p>
            <w:pPr>
              <w:spacing w:after="0"/>
              <w:rPr>
                <w:sz w:val="13"/>
                <w:szCs w:val="13"/>
                <w:color w:val="auto"/>
              </w:rPr>
            </w:pP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568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December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680" w:type="dxa"/>
            <w:vAlign w:val="bottom"/>
          </w:tcPr>
          <w:p>
            <w:pPr>
              <w:spacing w:after="0"/>
              <w:rPr>
                <w:sz w:val="13"/>
                <w:szCs w:val="13"/>
                <w:color w:val="auto"/>
              </w:rPr>
            </w:pPr>
          </w:p>
        </w:tc>
        <w:tc>
          <w:tcPr>
            <w:tcW w:w="466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Directors’ emoluments</w:t>
            </w:r>
          </w:p>
        </w:tc>
        <w:tc>
          <w:tcPr>
            <w:tcW w:w="4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9"/>
        </w:trPr>
        <w:tc>
          <w:tcPr>
            <w:tcW w:w="5680" w:type="dxa"/>
            <w:vAlign w:val="bottom"/>
          </w:tcPr>
          <w:p>
            <w:pPr>
              <w:ind w:left="20"/>
              <w:spacing w:after="0"/>
              <w:rPr>
                <w:sz w:val="20"/>
                <w:szCs w:val="20"/>
                <w:color w:val="auto"/>
              </w:rPr>
            </w:pPr>
            <w:r>
              <w:rPr>
                <w:rFonts w:ascii="Arial" w:cs="Arial" w:eastAsia="Arial" w:hAnsi="Arial"/>
                <w:sz w:val="13"/>
                <w:szCs w:val="13"/>
                <w:color w:val="auto"/>
              </w:rPr>
              <w:t>Emoluments</w:t>
            </w:r>
          </w:p>
        </w:tc>
        <w:tc>
          <w:tcPr>
            <w:tcW w:w="4660" w:type="dxa"/>
            <w:vAlign w:val="bottom"/>
          </w:tcPr>
          <w:p>
            <w:pPr>
              <w:jc w:val="right"/>
              <w:ind w:right="476"/>
              <w:spacing w:after="0"/>
              <w:rPr>
                <w:sz w:val="20"/>
                <w:szCs w:val="20"/>
                <w:color w:val="auto"/>
              </w:rPr>
            </w:pPr>
            <w:r>
              <w:rPr>
                <w:rFonts w:ascii="Arial" w:cs="Arial" w:eastAsia="Arial" w:hAnsi="Arial"/>
                <w:sz w:val="13"/>
                <w:szCs w:val="13"/>
                <w:b w:val="1"/>
                <w:bCs w:val="1"/>
                <w:color w:val="auto"/>
              </w:rPr>
              <w:t>3,058</w:t>
            </w:r>
          </w:p>
        </w:tc>
        <w:tc>
          <w:tcPr>
            <w:tcW w:w="940" w:type="dxa"/>
            <w:vAlign w:val="bottom"/>
          </w:tcPr>
          <w:p>
            <w:pPr>
              <w:jc w:val="right"/>
              <w:spacing w:after="0"/>
              <w:rPr>
                <w:sz w:val="20"/>
                <w:szCs w:val="20"/>
                <w:color w:val="auto"/>
              </w:rPr>
            </w:pPr>
            <w:r>
              <w:rPr>
                <w:rFonts w:ascii="Arial" w:cs="Arial" w:eastAsia="Arial" w:hAnsi="Arial"/>
                <w:sz w:val="13"/>
                <w:szCs w:val="13"/>
                <w:color w:val="auto"/>
              </w:rPr>
              <w:t>3,214</w:t>
            </w:r>
          </w:p>
        </w:tc>
      </w:tr>
      <w:tr>
        <w:trPr>
          <w:trHeight w:val="170"/>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Benefits under long-term incentive schemes</w:t>
            </w:r>
          </w:p>
        </w:tc>
        <w:tc>
          <w:tcPr>
            <w:tcW w:w="466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4,531</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3,955</w:t>
            </w:r>
          </w:p>
        </w:tc>
      </w:tr>
      <w:tr>
        <w:trPr>
          <w:trHeight w:val="169"/>
        </w:trPr>
        <w:tc>
          <w:tcPr>
            <w:tcW w:w="5680" w:type="dxa"/>
            <w:vAlign w:val="bottom"/>
          </w:tcPr>
          <w:p>
            <w:pPr>
              <w:ind w:left="20"/>
              <w:spacing w:after="0"/>
              <w:rPr>
                <w:sz w:val="20"/>
                <w:szCs w:val="20"/>
                <w:color w:val="auto"/>
              </w:rPr>
            </w:pPr>
            <w:r>
              <w:rPr>
                <w:rFonts w:ascii="Arial" w:cs="Arial" w:eastAsia="Arial" w:hAnsi="Arial"/>
                <w:sz w:val="13"/>
                <w:szCs w:val="13"/>
                <w:color w:val="auto"/>
              </w:rPr>
              <w:t>Gain on exercise of share options</w:t>
            </w:r>
          </w:p>
        </w:tc>
        <w:tc>
          <w:tcPr>
            <w:tcW w:w="4660" w:type="dxa"/>
            <w:vAlign w:val="bottom"/>
          </w:tcPr>
          <w:p>
            <w:pPr>
              <w:jc w:val="right"/>
              <w:ind w:right="476"/>
              <w:spacing w:after="0"/>
              <w:rPr>
                <w:sz w:val="20"/>
                <w:szCs w:val="20"/>
                <w:color w:val="auto"/>
              </w:rPr>
            </w:pPr>
            <w:r>
              <w:rPr>
                <w:rFonts w:ascii="Arial" w:cs="Arial" w:eastAsia="Arial" w:hAnsi="Arial"/>
                <w:sz w:val="13"/>
                <w:szCs w:val="13"/>
                <w:b w:val="1"/>
                <w:bCs w:val="1"/>
                <w:color w:val="auto"/>
              </w:rPr>
              <w:t>12,914</w:t>
            </w:r>
          </w:p>
        </w:tc>
        <w:tc>
          <w:tcPr>
            <w:tcW w:w="940" w:type="dxa"/>
            <w:vAlign w:val="bottom"/>
          </w:tcPr>
          <w:p>
            <w:pPr>
              <w:jc w:val="right"/>
              <w:spacing w:after="0"/>
              <w:rPr>
                <w:sz w:val="20"/>
                <w:szCs w:val="20"/>
                <w:color w:val="auto"/>
              </w:rPr>
            </w:pPr>
            <w:r>
              <w:rPr>
                <w:rFonts w:ascii="Arial" w:cs="Arial" w:eastAsia="Arial" w:hAnsi="Arial"/>
                <w:sz w:val="13"/>
                <w:szCs w:val="13"/>
                <w:color w:val="auto"/>
              </w:rPr>
              <w:t>16,907</w:t>
            </w:r>
          </w:p>
        </w:tc>
      </w:tr>
      <w:tr>
        <w:trPr>
          <w:trHeight w:val="171"/>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Pension contributions (defined contribution)</w:t>
            </w:r>
          </w:p>
        </w:tc>
        <w:tc>
          <w:tcPr>
            <w:tcW w:w="4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171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Further details regarding Directors’ shareholdings, share options and compensation are shown in </w:t>
      </w:r>
      <w:r>
        <w:rPr>
          <w:rFonts w:ascii="Arial" w:cs="Arial" w:eastAsia="Arial" w:hAnsi="Arial"/>
          <w:sz w:val="13"/>
          <w:szCs w:val="13"/>
          <w:i w:val="1"/>
          <w:iCs w:val="1"/>
          <w:color w:val="auto"/>
        </w:rPr>
        <w:t>note 9 – Payroll and related benefits.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Retirement benefits accrue to one Director (2019: one Director) under a defined contribution scheme.</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Included in the benefits under long-term incentive scheme are amounts relating to share entitlements, the calculation of which was based on the share-based payment charge calculated under IFRS 2 </w:t>
      </w:r>
      <w:r>
        <w:rPr>
          <w:rFonts w:ascii="Arial" w:cs="Arial" w:eastAsia="Arial" w:hAnsi="Arial"/>
          <w:sz w:val="13"/>
          <w:szCs w:val="13"/>
          <w:i w:val="1"/>
          <w:iCs w:val="1"/>
          <w:color w:val="auto"/>
        </w:rPr>
        <w:t>Share-Based Payments</w:t>
      </w:r>
      <w:r>
        <w:rPr>
          <w:rFonts w:ascii="Arial" w:cs="Arial" w:eastAsia="Arial" w:hAnsi="Arial"/>
          <w:sz w:val="13"/>
          <w:szCs w:val="13"/>
          <w:color w:val="auto"/>
        </w:rPr>
        <w: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0" w:type="dxa"/>
            <w:vAlign w:val="bottom"/>
            <w:shd w:val="clear" w:color="auto" w:fill="CCEEFF"/>
          </w:tcPr>
          <w:p>
            <w:pPr>
              <w:spacing w:after="0"/>
              <w:rPr>
                <w:sz w:val="13"/>
                <w:szCs w:val="13"/>
                <w:color w:val="auto"/>
              </w:rPr>
            </w:pP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6400" w:type="dxa"/>
            <w:vAlign w:val="bottom"/>
            <w:tcBorders>
              <w:bottom w:val="single" w:sz="8" w:color="auto"/>
            </w:tcBorders>
            <w:shd w:val="clear" w:color="auto" w:fill="CCEEFF"/>
          </w:tcPr>
          <w:p>
            <w:pPr>
              <w:spacing w:after="0"/>
              <w:rPr>
                <w:sz w:val="14"/>
                <w:szCs w:val="14"/>
                <w:color w:val="auto"/>
              </w:rPr>
            </w:pPr>
          </w:p>
        </w:tc>
        <w:tc>
          <w:tcPr>
            <w:tcW w:w="39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December 2020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6400" w:type="dxa"/>
            <w:vAlign w:val="bottom"/>
          </w:tcPr>
          <w:p>
            <w:pPr>
              <w:spacing w:after="0"/>
              <w:rPr>
                <w:sz w:val="13"/>
                <w:szCs w:val="13"/>
                <w:color w:val="auto"/>
              </w:rPr>
            </w:pPr>
          </w:p>
        </w:tc>
        <w:tc>
          <w:tcPr>
            <w:tcW w:w="392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 and amortisation</w:t>
            </w:r>
          </w:p>
        </w:tc>
        <w:tc>
          <w:tcPr>
            <w:tcW w:w="39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9"/>
        </w:trPr>
        <w:tc>
          <w:tcPr>
            <w:tcW w:w="640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 (note 12)</w:t>
            </w:r>
          </w:p>
        </w:tc>
        <w:tc>
          <w:tcPr>
            <w:tcW w:w="3920" w:type="dxa"/>
            <w:vAlign w:val="bottom"/>
          </w:tcPr>
          <w:p>
            <w:pPr>
              <w:jc w:val="right"/>
              <w:ind w:right="516"/>
              <w:spacing w:after="0"/>
              <w:rPr>
                <w:sz w:val="20"/>
                <w:szCs w:val="20"/>
                <w:color w:val="auto"/>
              </w:rPr>
            </w:pPr>
            <w:r>
              <w:rPr>
                <w:rFonts w:ascii="Arial" w:cs="Arial" w:eastAsia="Arial" w:hAnsi="Arial"/>
                <w:sz w:val="13"/>
                <w:szCs w:val="13"/>
                <w:b w:val="1"/>
                <w:bCs w:val="1"/>
                <w:color w:val="auto"/>
              </w:rPr>
              <w:t>18,360</w:t>
            </w:r>
          </w:p>
        </w:tc>
        <w:tc>
          <w:tcPr>
            <w:tcW w:w="960" w:type="dxa"/>
            <w:vAlign w:val="bottom"/>
          </w:tcPr>
          <w:p>
            <w:pPr>
              <w:jc w:val="right"/>
              <w:spacing w:after="0"/>
              <w:rPr>
                <w:sz w:val="20"/>
                <w:szCs w:val="20"/>
                <w:color w:val="auto"/>
              </w:rPr>
            </w:pPr>
            <w:r>
              <w:rPr>
                <w:rFonts w:ascii="Arial" w:cs="Arial" w:eastAsia="Arial" w:hAnsi="Arial"/>
                <w:sz w:val="13"/>
                <w:szCs w:val="13"/>
                <w:color w:val="auto"/>
              </w:rPr>
              <w:t>19,597</w:t>
            </w: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 (note 27)</w:t>
            </w:r>
          </w:p>
        </w:tc>
        <w:tc>
          <w:tcPr>
            <w:tcW w:w="392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28,947</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31,387</w:t>
            </w:r>
          </w:p>
        </w:tc>
      </w:tr>
      <w:tr>
        <w:trPr>
          <w:trHeight w:val="16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Amortisation of intangible assets (note 13)</w:t>
            </w:r>
          </w:p>
        </w:tc>
        <w:tc>
          <w:tcPr>
            <w:tcW w:w="39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47,766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41,953</w:t>
            </w:r>
          </w:p>
        </w:tc>
      </w:tr>
      <w:tr>
        <w:trPr>
          <w:trHeight w:val="192"/>
        </w:trPr>
        <w:tc>
          <w:tcPr>
            <w:tcW w:w="6400" w:type="dxa"/>
            <w:vAlign w:val="bottom"/>
            <w:shd w:val="clear" w:color="auto" w:fill="CCEEFF"/>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1"/>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depreciation and amortisation</w:t>
            </w:r>
          </w:p>
        </w:tc>
        <w:tc>
          <w:tcPr>
            <w:tcW w:w="39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95,073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92,937</w:t>
            </w:r>
          </w:p>
        </w:tc>
      </w:tr>
      <w:tr>
        <w:trPr>
          <w:trHeight w:val="159"/>
        </w:trPr>
        <w:tc>
          <w:tcPr>
            <w:tcW w:w="6400" w:type="dxa"/>
            <w:vAlign w:val="bottom"/>
            <w:shd w:val="clear" w:color="auto" w:fill="CCEEFF"/>
          </w:tcPr>
          <w:p>
            <w:pPr>
              <w:spacing w:after="0"/>
              <w:rPr>
                <w:sz w:val="13"/>
                <w:szCs w:val="13"/>
                <w:color w:val="auto"/>
              </w:rPr>
            </w:pPr>
          </w:p>
        </w:tc>
        <w:tc>
          <w:tcPr>
            <w:tcW w:w="39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Loss on sale of property, plant &amp; equipment</w:t>
            </w:r>
          </w:p>
        </w:tc>
        <w:tc>
          <w:tcPr>
            <w:tcW w:w="39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141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w:t>
            </w:r>
          </w:p>
        </w:tc>
      </w:tr>
      <w:tr>
        <w:trPr>
          <w:trHeight w:val="400"/>
        </w:trPr>
        <w:tc>
          <w:tcPr>
            <w:tcW w:w="6400" w:type="dxa"/>
            <w:vAlign w:val="bottom"/>
          </w:tcPr>
          <w:p>
            <w:pPr>
              <w:spacing w:after="0"/>
              <w:rPr>
                <w:sz w:val="20"/>
                <w:szCs w:val="20"/>
                <w:color w:val="auto"/>
              </w:rPr>
            </w:pPr>
            <w:r>
              <w:rPr>
                <w:rFonts w:ascii="Arial" w:cs="Arial" w:eastAsia="Arial" w:hAnsi="Arial"/>
                <w:sz w:val="13"/>
                <w:szCs w:val="13"/>
                <w:b w:val="1"/>
                <w:bCs w:val="1"/>
                <w:color w:val="auto"/>
              </w:rPr>
              <w:t>4.  Financing income</w:t>
            </w:r>
          </w:p>
        </w:tc>
        <w:tc>
          <w:tcPr>
            <w:tcW w:w="3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9"/>
        </w:trPr>
        <w:tc>
          <w:tcPr>
            <w:tcW w:w="6400" w:type="dxa"/>
            <w:vAlign w:val="bottom"/>
          </w:tcPr>
          <w:p>
            <w:pPr>
              <w:spacing w:after="0"/>
              <w:rPr>
                <w:sz w:val="7"/>
                <w:szCs w:val="7"/>
                <w:color w:val="auto"/>
              </w:rPr>
            </w:pPr>
          </w:p>
        </w:tc>
        <w:tc>
          <w:tcPr>
            <w:tcW w:w="4880" w:type="dxa"/>
            <w:vAlign w:val="bottom"/>
            <w:gridSpan w:val="2"/>
          </w:tcPr>
          <w:p>
            <w:pPr>
              <w:spacing w:after="0"/>
              <w:rPr>
                <w:sz w:val="7"/>
                <w:szCs w:val="7"/>
                <w:color w:val="auto"/>
              </w:rPr>
            </w:pPr>
          </w:p>
        </w:tc>
      </w:tr>
      <w:tr>
        <w:trPr>
          <w:trHeight w:val="127"/>
        </w:trPr>
        <w:tc>
          <w:tcPr>
            <w:tcW w:w="6400" w:type="dxa"/>
            <w:vAlign w:val="bottom"/>
            <w:shd w:val="clear" w:color="auto" w:fill="CCEEFF"/>
          </w:tcPr>
          <w:p>
            <w:pPr>
              <w:spacing w:after="0"/>
              <w:rPr>
                <w:sz w:val="11"/>
                <w:szCs w:val="11"/>
                <w:color w:val="auto"/>
              </w:rPr>
            </w:pPr>
          </w:p>
        </w:tc>
        <w:tc>
          <w:tcPr>
            <w:tcW w:w="4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6400" w:type="dxa"/>
            <w:vAlign w:val="bottom"/>
            <w:tcBorders>
              <w:bottom w:val="single" w:sz="8" w:color="auto"/>
            </w:tcBorders>
            <w:shd w:val="clear" w:color="auto" w:fill="CCEEFF"/>
          </w:tcPr>
          <w:p>
            <w:pPr>
              <w:spacing w:after="0"/>
              <w:rPr>
                <w:sz w:val="14"/>
                <w:szCs w:val="14"/>
                <w:color w:val="auto"/>
              </w:rPr>
            </w:pPr>
          </w:p>
        </w:tc>
        <w:tc>
          <w:tcPr>
            <w:tcW w:w="39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December 2020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6400" w:type="dxa"/>
            <w:vAlign w:val="bottom"/>
          </w:tcPr>
          <w:p>
            <w:pPr>
              <w:spacing w:after="0"/>
              <w:rPr>
                <w:sz w:val="13"/>
                <w:szCs w:val="13"/>
                <w:color w:val="auto"/>
              </w:rPr>
            </w:pPr>
          </w:p>
        </w:tc>
        <w:tc>
          <w:tcPr>
            <w:tcW w:w="392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64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6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receivable</w:t>
            </w:r>
          </w:p>
        </w:tc>
        <w:tc>
          <w:tcPr>
            <w:tcW w:w="39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2,724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6,859</w:t>
            </w:r>
          </w:p>
        </w:tc>
      </w:tr>
      <w:tr>
        <w:trPr>
          <w:trHeight w:val="182"/>
        </w:trPr>
        <w:tc>
          <w:tcPr>
            <w:tcW w:w="64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1"/>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finance income</w:t>
            </w:r>
          </w:p>
        </w:tc>
        <w:tc>
          <w:tcPr>
            <w:tcW w:w="39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2,724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6,859</w:t>
            </w:r>
          </w:p>
        </w:tc>
      </w:tr>
      <w:tr>
        <w:trPr>
          <w:trHeight w:val="420"/>
        </w:trPr>
        <w:tc>
          <w:tcPr>
            <w:tcW w:w="6400" w:type="dxa"/>
            <w:vAlign w:val="bottom"/>
          </w:tcPr>
          <w:p>
            <w:pPr>
              <w:spacing w:after="0"/>
              <w:rPr>
                <w:sz w:val="20"/>
                <w:szCs w:val="20"/>
                <w:color w:val="auto"/>
              </w:rPr>
            </w:pPr>
            <w:r>
              <w:rPr>
                <w:rFonts w:ascii="Arial" w:cs="Arial" w:eastAsia="Arial" w:hAnsi="Arial"/>
                <w:sz w:val="13"/>
                <w:szCs w:val="13"/>
                <w:color w:val="auto"/>
              </w:rPr>
              <w:t>All of the above relate to items not at fair value through profit and loss.</w:t>
            </w:r>
          </w:p>
        </w:tc>
        <w:tc>
          <w:tcPr>
            <w:tcW w:w="39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696" w:right="319" w:bottom="1440" w:gutter="0" w:footer="0" w:header="0"/>
        </w:sectPr>
      </w:pPr>
    </w:p>
    <w:bookmarkStart w:id="71" w:name="page72"/>
    <w:bookmarkEnd w:id="71"/>
    <w:p>
      <w:pPr>
        <w:ind w:left="80"/>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3"/>
          <w:szCs w:val="13"/>
          <w:b w:val="1"/>
          <w:bCs w:val="1"/>
          <w:color w:val="auto"/>
        </w:rPr>
        <w:t>5.</w:t>
      </w:r>
      <w:r>
        <w:rPr>
          <w:sz w:val="20"/>
          <w:szCs w:val="20"/>
          <w:color w:val="auto"/>
        </w:rPr>
        <w:tab/>
      </w:r>
      <w:r>
        <w:rPr>
          <w:rFonts w:ascii="Arial" w:cs="Arial" w:eastAsia="Arial" w:hAnsi="Arial"/>
          <w:sz w:val="12"/>
          <w:szCs w:val="12"/>
          <w:b w:val="1"/>
          <w:bCs w:val="1"/>
          <w:color w:val="auto"/>
        </w:rPr>
        <w:t>Financing expense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Year ended 31 December</w:t>
            </w:r>
            <w:r>
              <w:rPr>
                <w:rFonts w:ascii="Arial" w:cs="Arial" w:eastAsia="Arial" w:hAnsi="Arial"/>
                <w:sz w:val="13"/>
                <w:szCs w:val="13"/>
                <w:color w:val="auto"/>
              </w:rPr>
              <w:t>Year ended 31 December</w:t>
            </w:r>
          </w:p>
        </w:tc>
      </w:tr>
      <w:tr>
        <w:trPr>
          <w:trHeight w:val="169"/>
        </w:trPr>
        <w:tc>
          <w:tcPr>
            <w:tcW w:w="80" w:type="dxa"/>
            <w:vAlign w:val="bottom"/>
          </w:tcPr>
          <w:p>
            <w:pPr>
              <w:spacing w:after="0"/>
              <w:rPr>
                <w:sz w:val="14"/>
                <w:szCs w:val="14"/>
                <w:color w:val="auto"/>
              </w:rPr>
            </w:pPr>
          </w:p>
        </w:tc>
        <w:tc>
          <w:tcPr>
            <w:tcW w:w="5600" w:type="dxa"/>
            <w:vAlign w:val="bottom"/>
            <w:tcBorders>
              <w:bottom w:val="single" w:sz="8" w:color="auto"/>
            </w:tcBorders>
            <w:shd w:val="clear" w:color="auto" w:fill="CCEEFF"/>
          </w:tcPr>
          <w:p>
            <w:pPr>
              <w:spacing w:after="0"/>
              <w:rPr>
                <w:sz w:val="14"/>
                <w:szCs w:val="14"/>
                <w:color w:val="auto"/>
              </w:rPr>
            </w:pPr>
          </w:p>
        </w:tc>
        <w:tc>
          <w:tcPr>
            <w:tcW w:w="45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450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80" w:type="dxa"/>
            <w:vAlign w:val="bottom"/>
          </w:tcPr>
          <w:p>
            <w:pPr>
              <w:spacing w:after="0"/>
              <w:rPr>
                <w:sz w:val="14"/>
                <w:szCs w:val="14"/>
                <w:color w:val="auto"/>
              </w:rPr>
            </w:pPr>
          </w:p>
        </w:tc>
        <w:tc>
          <w:tcPr>
            <w:tcW w:w="5600" w:type="dxa"/>
            <w:vAlign w:val="bottom"/>
            <w:shd w:val="clear" w:color="auto" w:fill="CCEEFF"/>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5680" w:type="dxa"/>
            <w:vAlign w:val="bottom"/>
            <w:gridSpan w:val="2"/>
          </w:tcPr>
          <w:p>
            <w:pPr>
              <w:spacing w:after="0"/>
              <w:rPr>
                <w:sz w:val="20"/>
                <w:szCs w:val="20"/>
                <w:color w:val="auto"/>
              </w:rPr>
            </w:pPr>
            <w:r>
              <w:rPr>
                <w:rFonts w:ascii="Arial" w:cs="Arial" w:eastAsia="Arial" w:hAnsi="Arial"/>
                <w:sz w:val="13"/>
                <w:szCs w:val="13"/>
                <w:color w:val="auto"/>
              </w:rPr>
              <w:t>erest and facility fees on bank overdraft and Senior Notes</w:t>
            </w:r>
          </w:p>
        </w:tc>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8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payable within 5 years, not by instalments*</w:t>
            </w:r>
          </w:p>
        </w:tc>
        <w:tc>
          <w:tcPr>
            <w:tcW w:w="450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13,406</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13,659</w:t>
            </w:r>
          </w:p>
        </w:tc>
      </w:tr>
      <w:tr>
        <w:trPr>
          <w:trHeight w:val="169"/>
        </w:trPr>
        <w:tc>
          <w:tcPr>
            <w:tcW w:w="5680" w:type="dxa"/>
            <w:vAlign w:val="bottom"/>
            <w:gridSpan w:val="2"/>
          </w:tcPr>
          <w:p>
            <w:pPr>
              <w:spacing w:after="0"/>
              <w:rPr>
                <w:sz w:val="20"/>
                <w:szCs w:val="20"/>
                <w:color w:val="auto"/>
              </w:rPr>
            </w:pPr>
            <w:r>
              <w:rPr>
                <w:rFonts w:ascii="Arial" w:cs="Arial" w:eastAsia="Arial" w:hAnsi="Arial"/>
                <w:sz w:val="13"/>
                <w:szCs w:val="13"/>
                <w:color w:val="auto"/>
              </w:rPr>
              <w:t>measurement of gross obligation under put option</w:t>
            </w:r>
          </w:p>
        </w:tc>
        <w:tc>
          <w:tcPr>
            <w:tcW w:w="4500" w:type="dxa"/>
            <w:vAlign w:val="bottom"/>
          </w:tcPr>
          <w:p>
            <w:pPr>
              <w:jc w:val="right"/>
              <w:ind w:right="476"/>
              <w:spacing w:after="0"/>
              <w:rPr>
                <w:sz w:val="20"/>
                <w:szCs w:val="20"/>
                <w:color w:val="auto"/>
              </w:rPr>
            </w:pPr>
            <w:r>
              <w:rPr>
                <w:rFonts w:ascii="Arial" w:cs="Arial" w:eastAsia="Arial" w:hAnsi="Arial"/>
                <w:sz w:val="13"/>
                <w:szCs w:val="13"/>
                <w:b w:val="1"/>
                <w:bCs w:val="1"/>
                <w:color w:val="auto"/>
              </w:rPr>
              <w:t>(2,540)</w:t>
            </w:r>
          </w:p>
        </w:tc>
        <w:tc>
          <w:tcPr>
            <w:tcW w:w="920" w:type="dxa"/>
            <w:vAlign w:val="bottom"/>
          </w:tcPr>
          <w:p>
            <w:pPr>
              <w:jc w:val="right"/>
              <w:spacing w:after="0"/>
              <w:rPr>
                <w:sz w:val="20"/>
                <w:szCs w:val="20"/>
                <w:color w:val="auto"/>
              </w:rPr>
            </w:pPr>
            <w:r>
              <w:rPr>
                <w:rFonts w:ascii="Arial" w:cs="Arial" w:eastAsia="Arial" w:hAnsi="Arial"/>
                <w:sz w:val="13"/>
                <w:szCs w:val="13"/>
                <w:color w:val="auto"/>
              </w:rPr>
              <w:t>8,723</w:t>
            </w:r>
          </w:p>
        </w:tc>
      </w:tr>
      <w:tr>
        <w:trPr>
          <w:trHeight w:val="169"/>
        </w:trPr>
        <w:tc>
          <w:tcPr>
            <w:tcW w:w="5680" w:type="dxa"/>
            <w:vAlign w:val="bottom"/>
            <w:gridSpan w:val="2"/>
          </w:tcPr>
          <w:p>
            <w:pPr>
              <w:spacing w:after="0"/>
              <w:rPr>
                <w:sz w:val="20"/>
                <w:szCs w:val="20"/>
                <w:color w:val="auto"/>
              </w:rPr>
            </w:pPr>
            <w:r>
              <w:rPr>
                <w:rFonts w:ascii="Arial" w:cs="Arial" w:eastAsia="Arial" w:hAnsi="Arial"/>
                <w:sz w:val="13"/>
                <w:szCs w:val="13"/>
                <w:color w:val="auto"/>
              </w:rPr>
              <w:t>erest on lease liabilities</w:t>
            </w:r>
          </w:p>
        </w:tc>
        <w:tc>
          <w:tcPr>
            <w:tcW w:w="4500" w:type="dxa"/>
            <w:vAlign w:val="bottom"/>
          </w:tcPr>
          <w:p>
            <w:pPr>
              <w:jc w:val="right"/>
              <w:ind w:right="516"/>
              <w:spacing w:after="0"/>
              <w:rPr>
                <w:sz w:val="20"/>
                <w:szCs w:val="20"/>
                <w:color w:val="auto"/>
              </w:rPr>
            </w:pPr>
            <w:r>
              <w:rPr>
                <w:rFonts w:ascii="Arial" w:cs="Arial" w:eastAsia="Arial" w:hAnsi="Arial"/>
                <w:sz w:val="13"/>
                <w:szCs w:val="13"/>
                <w:b w:val="1"/>
                <w:bCs w:val="1"/>
                <w:color w:val="auto"/>
              </w:rPr>
              <w:t>1,668</w:t>
            </w:r>
          </w:p>
        </w:tc>
        <w:tc>
          <w:tcPr>
            <w:tcW w:w="920" w:type="dxa"/>
            <w:vAlign w:val="bottom"/>
          </w:tcPr>
          <w:p>
            <w:pPr>
              <w:jc w:val="right"/>
              <w:spacing w:after="0"/>
              <w:rPr>
                <w:sz w:val="20"/>
                <w:szCs w:val="20"/>
                <w:color w:val="auto"/>
              </w:rPr>
            </w:pPr>
            <w:r>
              <w:rPr>
                <w:rFonts w:ascii="Arial" w:cs="Arial" w:eastAsia="Arial" w:hAnsi="Arial"/>
                <w:sz w:val="13"/>
                <w:szCs w:val="13"/>
                <w:color w:val="auto"/>
              </w:rPr>
              <w:t>2,626</w:t>
            </w:r>
          </w:p>
        </w:tc>
      </w:tr>
      <w:tr>
        <w:trPr>
          <w:trHeight w:val="170"/>
        </w:trPr>
        <w:tc>
          <w:tcPr>
            <w:tcW w:w="5680" w:type="dxa"/>
            <w:vAlign w:val="bottom"/>
            <w:gridSpan w:val="2"/>
          </w:tcPr>
          <w:p>
            <w:pPr>
              <w:spacing w:after="0"/>
              <w:rPr>
                <w:sz w:val="20"/>
                <w:szCs w:val="20"/>
                <w:color w:val="auto"/>
              </w:rPr>
            </w:pPr>
            <w:r>
              <w:rPr>
                <w:rFonts w:ascii="Arial" w:cs="Arial" w:eastAsia="Arial" w:hAnsi="Arial"/>
                <w:sz w:val="13"/>
                <w:szCs w:val="13"/>
                <w:color w:val="auto"/>
              </w:rPr>
              <w:t>cility fees (including amortisation)</w:t>
            </w:r>
          </w:p>
        </w:tc>
        <w:tc>
          <w:tcPr>
            <w:tcW w:w="4500" w:type="dxa"/>
            <w:vAlign w:val="bottom"/>
          </w:tcPr>
          <w:p>
            <w:pPr>
              <w:jc w:val="right"/>
              <w:ind w:right="476"/>
              <w:spacing w:after="0"/>
              <w:rPr>
                <w:sz w:val="20"/>
                <w:szCs w:val="20"/>
                <w:color w:val="auto"/>
              </w:rPr>
            </w:pPr>
            <w:r>
              <w:rPr>
                <w:rFonts w:ascii="Arial" w:cs="Arial" w:eastAsia="Arial" w:hAnsi="Arial"/>
                <w:sz w:val="13"/>
                <w:szCs w:val="13"/>
                <w:b w:val="1"/>
                <w:bCs w:val="1"/>
                <w:color w:val="auto"/>
              </w:rPr>
              <w:t>523</w:t>
            </w:r>
          </w:p>
        </w:tc>
        <w:tc>
          <w:tcPr>
            <w:tcW w:w="920" w:type="dxa"/>
            <w:vAlign w:val="bottom"/>
          </w:tcPr>
          <w:p>
            <w:pPr>
              <w:jc w:val="right"/>
              <w:spacing w:after="0"/>
              <w:rPr>
                <w:sz w:val="20"/>
                <w:szCs w:val="20"/>
                <w:color w:val="auto"/>
              </w:rPr>
            </w:pPr>
            <w:r>
              <w:rPr>
                <w:rFonts w:ascii="Arial" w:cs="Arial" w:eastAsia="Arial" w:hAnsi="Arial"/>
                <w:sz w:val="13"/>
                <w:szCs w:val="13"/>
                <w:color w:val="auto"/>
              </w:rPr>
              <w:t>540</w:t>
            </w:r>
          </w:p>
        </w:tc>
      </w:tr>
      <w:tr>
        <w:trPr>
          <w:trHeight w:val="170"/>
        </w:trPr>
        <w:tc>
          <w:tcPr>
            <w:tcW w:w="80" w:type="dxa"/>
            <w:vAlign w:val="bottom"/>
          </w:tcPr>
          <w:p>
            <w:pPr>
              <w:spacing w:after="0"/>
              <w:rPr>
                <w:sz w:val="14"/>
                <w:szCs w:val="14"/>
                <w:color w:val="auto"/>
              </w:rPr>
            </w:pPr>
          </w:p>
        </w:tc>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ortisation of gain on interest rate hedge</w:t>
            </w:r>
          </w:p>
        </w:tc>
        <w:tc>
          <w:tcPr>
            <w:tcW w:w="45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(910)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w:t>
            </w:r>
          </w:p>
        </w:tc>
      </w:tr>
      <w:tr>
        <w:trPr>
          <w:trHeight w:val="318"/>
        </w:trPr>
        <w:tc>
          <w:tcPr>
            <w:tcW w:w="5680" w:type="dxa"/>
            <w:vAlign w:val="bottom"/>
            <w:gridSpan w:val="2"/>
          </w:tcPr>
          <w:p>
            <w:pPr>
              <w:spacing w:after="0"/>
              <w:rPr>
                <w:sz w:val="20"/>
                <w:szCs w:val="20"/>
                <w:color w:val="auto"/>
              </w:rPr>
            </w:pPr>
            <w:r>
              <w:rPr>
                <w:rFonts w:ascii="Arial" w:cs="Arial" w:eastAsia="Arial" w:hAnsi="Arial"/>
                <w:sz w:val="13"/>
                <w:szCs w:val="13"/>
                <w:b w:val="1"/>
                <w:bCs w:val="1"/>
                <w:color w:val="auto"/>
              </w:rPr>
              <w:t>tal finance expense</w:t>
            </w:r>
          </w:p>
        </w:tc>
        <w:tc>
          <w:tcPr>
            <w:tcW w:w="4500" w:type="dxa"/>
            <w:vAlign w:val="bottom"/>
          </w:tcPr>
          <w:p>
            <w:pPr>
              <w:jc w:val="right"/>
              <w:ind w:right="476"/>
              <w:spacing w:after="0"/>
              <w:rPr>
                <w:sz w:val="20"/>
                <w:szCs w:val="20"/>
                <w:color w:val="auto"/>
              </w:rPr>
            </w:pPr>
            <w:r>
              <w:rPr>
                <w:rFonts w:ascii="Arial" w:cs="Arial" w:eastAsia="Arial" w:hAnsi="Arial"/>
                <w:sz w:val="13"/>
                <w:szCs w:val="13"/>
                <w:b w:val="1"/>
                <w:bCs w:val="1"/>
                <w:color w:val="auto"/>
              </w:rPr>
              <w:t>12,147</w:t>
            </w:r>
          </w:p>
        </w:tc>
        <w:tc>
          <w:tcPr>
            <w:tcW w:w="920" w:type="dxa"/>
            <w:vAlign w:val="bottom"/>
          </w:tcPr>
          <w:p>
            <w:pPr>
              <w:jc w:val="right"/>
              <w:spacing w:after="0"/>
              <w:rPr>
                <w:sz w:val="20"/>
                <w:szCs w:val="20"/>
                <w:color w:val="auto"/>
              </w:rPr>
            </w:pPr>
            <w:r>
              <w:rPr>
                <w:rFonts w:ascii="Arial" w:cs="Arial" w:eastAsia="Arial" w:hAnsi="Arial"/>
                <w:sz w:val="13"/>
                <w:szCs w:val="13"/>
                <w:color w:val="auto"/>
              </w:rPr>
              <w:t>24,625</w:t>
            </w:r>
          </w:p>
        </w:tc>
      </w:tr>
      <w:tr>
        <w:trPr>
          <w:trHeight w:val="23"/>
        </w:trPr>
        <w:tc>
          <w:tcPr>
            <w:tcW w:w="80" w:type="dxa"/>
            <w:vAlign w:val="bottom"/>
          </w:tcPr>
          <w:p>
            <w:pPr>
              <w:spacing w:after="0"/>
              <w:rPr>
                <w:sz w:val="2"/>
                <w:szCs w:val="2"/>
                <w:color w:val="auto"/>
              </w:rPr>
            </w:pPr>
          </w:p>
        </w:tc>
        <w:tc>
          <w:tcPr>
            <w:tcW w:w="560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-551815</wp:posOffset>
            </wp:positionV>
            <wp:extent cx="7000240" cy="107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-120650</wp:posOffset>
            </wp:positionV>
            <wp:extent cx="700024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0240" cy="114300"/>
                    </a:xfrm>
                    <a:prstGeom prst="rect">
                      <a:avLst/>
                    </a:prstGeom>
                    <a:noFill/>
                  </pic:spPr>
                </pic:pic>
              </a:graphicData>
            </a:graphic>
          </wp:anchor>
        </w:drawing>
      </w:r>
    </w:p>
    <w:p>
      <w:pPr>
        <w:spacing w:after="0" w:line="33" w:lineRule="exact"/>
        <w:rPr>
          <w:sz w:val="20"/>
          <w:szCs w:val="20"/>
          <w:color w:val="auto"/>
        </w:rPr>
      </w:pPr>
    </w:p>
    <w:p>
      <w:pPr>
        <w:jc w:val="both"/>
        <w:ind w:left="80"/>
        <w:spacing w:after="0" w:line="251" w:lineRule="auto"/>
        <w:rPr>
          <w:sz w:val="20"/>
          <w:szCs w:val="20"/>
          <w:color w:val="auto"/>
        </w:rPr>
      </w:pPr>
      <w:r>
        <w:rPr>
          <w:rFonts w:ascii="Arial" w:cs="Arial" w:eastAsia="Arial" w:hAnsi="Arial"/>
          <w:sz w:val="13"/>
          <w:szCs w:val="13"/>
          <w:i w:val="1"/>
          <w:iCs w:val="1"/>
          <w:color w:val="auto"/>
        </w:rPr>
        <w:t>*The interest rate on the '2015 Senior Notes' was fixed during the year at 3.64%. The 2015 Senior Notes matured on 15 December 2020 and were repaid in full. On 8 December 2020, the Company issued new senior notes, '2020 Senior Notes' in two tranches; Series A Note and Series B Notes. The interest rate on the '2020 Senior Notes' is fixed at 2.32% and 2.43% for Series A Notes and Series B Notes respectively. Costs directly related to the Senior Notes are amortised over the term.</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3"/>
          <w:szCs w:val="13"/>
          <w:color w:val="auto"/>
        </w:rPr>
        <w:t>All of the above (other than remeasurement of gross obligation under put option) relate to items not at fair value through profit and loss.</w:t>
      </w: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360"/>
          </w:cols>
          <w:pgMar w:left="220" w:top="696"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ind w:left="260" w:hanging="255"/>
        <w:spacing w:after="0"/>
        <w:tabs>
          <w:tab w:leader="none" w:pos="26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the current and deferred tax expense for the years ended 31 December 2020 and 2019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shd w:val="clear" w:color="auto" w:fill="CCEEFF"/>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140" w:type="dxa"/>
            <w:vAlign w:val="bottom"/>
            <w:tcBorders>
              <w:bottom w:val="single" w:sz="8" w:color="auto"/>
            </w:tcBorders>
            <w:shd w:val="clear" w:color="auto" w:fill="CCEEFF"/>
          </w:tcPr>
          <w:p>
            <w:pPr>
              <w:spacing w:after="0"/>
              <w:rPr>
                <w:sz w:val="14"/>
                <w:szCs w:val="14"/>
                <w:color w:val="auto"/>
              </w:rPr>
            </w:pPr>
          </w:p>
        </w:tc>
        <w:tc>
          <w:tcPr>
            <w:tcW w:w="6120" w:type="dxa"/>
            <w:vAlign w:val="bottom"/>
            <w:tcBorders>
              <w:bottom w:val="single" w:sz="8" w:color="auto"/>
            </w:tcBorders>
            <w:shd w:val="clear" w:color="auto" w:fill="CCEEFF"/>
          </w:tcPr>
          <w:p>
            <w:pPr>
              <w:spacing w:after="0"/>
              <w:rPr>
                <w:sz w:val="14"/>
                <w:szCs w:val="14"/>
                <w:color w:val="auto"/>
              </w:rPr>
            </w:pPr>
          </w:p>
        </w:tc>
        <w:tc>
          <w:tcPr>
            <w:tcW w:w="40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December 2020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1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404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tax expense</w:t>
            </w:r>
          </w:p>
        </w:tc>
        <w:tc>
          <w:tcPr>
            <w:tcW w:w="4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3"/>
        </w:trPr>
        <w:tc>
          <w:tcPr>
            <w:tcW w:w="6260" w:type="dxa"/>
            <w:vAlign w:val="bottom"/>
            <w:gridSpan w:val="2"/>
          </w:tcPr>
          <w:p>
            <w:pPr>
              <w:ind w:left="20"/>
              <w:spacing w:after="0"/>
              <w:rPr>
                <w:sz w:val="20"/>
                <w:szCs w:val="20"/>
                <w:color w:val="auto"/>
              </w:rPr>
            </w:pPr>
            <w:r>
              <w:rPr>
                <w:rFonts w:ascii="Arial" w:cs="Arial" w:eastAsia="Arial" w:hAnsi="Arial"/>
                <w:sz w:val="13"/>
                <w:szCs w:val="13"/>
                <w:color w:val="auto"/>
              </w:rPr>
              <w:t>Current year</w:t>
            </w:r>
          </w:p>
        </w:tc>
        <w:tc>
          <w:tcPr>
            <w:tcW w:w="4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9"/>
        </w:trPr>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120" w:type="dxa"/>
            <w:vAlign w:val="bottom"/>
            <w:shd w:val="clear" w:color="auto" w:fill="CCEEFF"/>
          </w:tcPr>
          <w:p>
            <w:pPr>
              <w:ind w:left="60"/>
              <w:spacing w:after="0"/>
              <w:rPr>
                <w:sz w:val="20"/>
                <w:szCs w:val="20"/>
                <w:color w:val="auto"/>
              </w:rPr>
            </w:pPr>
            <w:r>
              <w:rPr>
                <w:rFonts w:ascii="Arial" w:cs="Arial" w:eastAsia="Arial" w:hAnsi="Arial"/>
                <w:sz w:val="13"/>
                <w:szCs w:val="13"/>
                <w:color w:val="auto"/>
              </w:rPr>
              <w:t>Ireland</w:t>
            </w:r>
          </w:p>
        </w:tc>
        <w:tc>
          <w:tcPr>
            <w:tcW w:w="40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30,151</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36,150</w:t>
            </w:r>
          </w:p>
        </w:tc>
      </w:tr>
      <w:tr>
        <w:trPr>
          <w:trHeight w:val="183"/>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1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w:t>
            </w:r>
          </w:p>
        </w:tc>
        <w:tc>
          <w:tcPr>
            <w:tcW w:w="40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22,536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24,959</w:t>
            </w:r>
          </w:p>
        </w:tc>
      </w:tr>
      <w:tr>
        <w:trPr>
          <w:trHeight w:val="168"/>
        </w:trPr>
        <w:tc>
          <w:tcPr>
            <w:tcW w:w="140" w:type="dxa"/>
            <w:vAlign w:val="bottom"/>
            <w:shd w:val="clear" w:color="auto" w:fill="CCEEFF"/>
          </w:tcPr>
          <w:p>
            <w:pPr>
              <w:spacing w:after="0"/>
              <w:rPr>
                <w:sz w:val="14"/>
                <w:szCs w:val="14"/>
                <w:color w:val="auto"/>
              </w:rPr>
            </w:pPr>
          </w:p>
        </w:tc>
        <w:tc>
          <w:tcPr>
            <w:tcW w:w="6120" w:type="dxa"/>
            <w:vAlign w:val="bottom"/>
            <w:shd w:val="clear" w:color="auto" w:fill="CCEEFF"/>
          </w:tcPr>
          <w:p>
            <w:pPr>
              <w:spacing w:after="0"/>
              <w:rPr>
                <w:sz w:val="14"/>
                <w:szCs w:val="14"/>
                <w:color w:val="auto"/>
              </w:rPr>
            </w:pPr>
          </w:p>
        </w:tc>
        <w:tc>
          <w:tcPr>
            <w:tcW w:w="40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52,687</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61,109</w:t>
            </w:r>
          </w:p>
        </w:tc>
      </w:tr>
      <w:tr>
        <w:trPr>
          <w:trHeight w:val="169"/>
        </w:trPr>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Deferred tax expense/ (credit)</w:t>
            </w:r>
          </w:p>
        </w:tc>
        <w:tc>
          <w:tcPr>
            <w:tcW w:w="4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Origination and reversal of temporary differences</w:t>
            </w:r>
          </w:p>
        </w:tc>
        <w:tc>
          <w:tcPr>
            <w:tcW w:w="40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(1,925)</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(2,556)</w:t>
            </w:r>
          </w:p>
        </w:tc>
      </w:tr>
      <w:tr>
        <w:trPr>
          <w:trHeight w:val="127"/>
        </w:trPr>
        <w:tc>
          <w:tcPr>
            <w:tcW w:w="6260" w:type="dxa"/>
            <w:vAlign w:val="bottom"/>
            <w:gridSpan w:val="2"/>
          </w:tcPr>
          <w:p>
            <w:pPr>
              <w:spacing w:after="0"/>
              <w:rPr>
                <w:sz w:val="11"/>
                <w:szCs w:val="11"/>
                <w:color w:val="auto"/>
              </w:rPr>
            </w:pPr>
          </w:p>
        </w:tc>
        <w:tc>
          <w:tcPr>
            <w:tcW w:w="40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91"/>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Over provided in prior years</w:t>
            </w:r>
          </w:p>
        </w:tc>
        <w:tc>
          <w:tcPr>
            <w:tcW w:w="4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69"/>
        </w:trPr>
        <w:tc>
          <w:tcPr>
            <w:tcW w:w="6260" w:type="dxa"/>
            <w:vAlign w:val="bottom"/>
            <w:gridSpan w:val="2"/>
          </w:tcPr>
          <w:p>
            <w:pPr>
              <w:ind w:left="20"/>
              <w:spacing w:after="0"/>
              <w:rPr>
                <w:sz w:val="20"/>
                <w:szCs w:val="20"/>
                <w:color w:val="auto"/>
              </w:rPr>
            </w:pPr>
            <w:r>
              <w:rPr>
                <w:rFonts w:ascii="Arial" w:cs="Arial" w:eastAsia="Arial" w:hAnsi="Arial"/>
                <w:sz w:val="13"/>
                <w:szCs w:val="13"/>
                <w:color w:val="auto"/>
              </w:rPr>
              <w:t>Current tax</w:t>
            </w:r>
          </w:p>
        </w:tc>
        <w:tc>
          <w:tcPr>
            <w:tcW w:w="4040" w:type="dxa"/>
            <w:vAlign w:val="bottom"/>
          </w:tcPr>
          <w:p>
            <w:pPr>
              <w:jc w:val="right"/>
              <w:ind w:right="476"/>
              <w:spacing w:after="0"/>
              <w:rPr>
                <w:sz w:val="20"/>
                <w:szCs w:val="20"/>
                <w:color w:val="auto"/>
              </w:rPr>
            </w:pPr>
            <w:r>
              <w:rPr>
                <w:rFonts w:ascii="Arial" w:cs="Arial" w:eastAsia="Arial" w:hAnsi="Arial"/>
                <w:sz w:val="13"/>
                <w:szCs w:val="13"/>
                <w:b w:val="1"/>
                <w:bCs w:val="1"/>
                <w:color w:val="auto"/>
              </w:rPr>
              <w:t>(1,740)</w:t>
            </w:r>
          </w:p>
        </w:tc>
        <w:tc>
          <w:tcPr>
            <w:tcW w:w="980" w:type="dxa"/>
            <w:vAlign w:val="bottom"/>
          </w:tcPr>
          <w:p>
            <w:pPr>
              <w:jc w:val="right"/>
              <w:spacing w:after="0"/>
              <w:rPr>
                <w:sz w:val="20"/>
                <w:szCs w:val="20"/>
                <w:color w:val="auto"/>
              </w:rPr>
            </w:pPr>
            <w:r>
              <w:rPr>
                <w:rFonts w:ascii="Arial" w:cs="Arial" w:eastAsia="Arial" w:hAnsi="Arial"/>
                <w:sz w:val="13"/>
                <w:szCs w:val="13"/>
                <w:color w:val="auto"/>
              </w:rPr>
              <w:t>(1,211)</w:t>
            </w:r>
          </w:p>
        </w:tc>
      </w:tr>
      <w:tr>
        <w:trPr>
          <w:trHeight w:val="170"/>
        </w:trPr>
        <w:tc>
          <w:tcPr>
            <w:tcW w:w="6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Deferred tax</w:t>
            </w:r>
          </w:p>
        </w:tc>
        <w:tc>
          <w:tcPr>
            <w:tcW w:w="40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1,731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0"/>
        </w:trPr>
        <w:tc>
          <w:tcPr>
            <w:tcW w:w="6260" w:type="dxa"/>
            <w:vAlign w:val="bottom"/>
            <w:gridSpan w:val="2"/>
          </w:tcPr>
          <w:p>
            <w:pPr>
              <w:ind w:left="20"/>
              <w:spacing w:after="0"/>
              <w:rPr>
                <w:sz w:val="20"/>
                <w:szCs w:val="20"/>
                <w:color w:val="auto"/>
              </w:rPr>
            </w:pPr>
            <w:r>
              <w:rPr>
                <w:rFonts w:ascii="Arial" w:cs="Arial" w:eastAsia="Arial" w:hAnsi="Arial"/>
                <w:sz w:val="13"/>
                <w:szCs w:val="13"/>
                <w:color w:val="auto"/>
              </w:rPr>
              <w:t>Over provided in prior years</w:t>
            </w:r>
          </w:p>
        </w:tc>
        <w:tc>
          <w:tcPr>
            <w:tcW w:w="4040" w:type="dxa"/>
            <w:vAlign w:val="bottom"/>
          </w:tcPr>
          <w:p>
            <w:pPr>
              <w:jc w:val="right"/>
              <w:ind w:right="476"/>
              <w:spacing w:after="0"/>
              <w:rPr>
                <w:sz w:val="20"/>
                <w:szCs w:val="20"/>
                <w:color w:val="auto"/>
              </w:rPr>
            </w:pPr>
            <w:r>
              <w:rPr>
                <w:rFonts w:ascii="Arial" w:cs="Arial" w:eastAsia="Arial" w:hAnsi="Arial"/>
                <w:sz w:val="13"/>
                <w:szCs w:val="13"/>
                <w:b w:val="1"/>
                <w:bCs w:val="1"/>
                <w:color w:val="auto"/>
              </w:rPr>
              <w:t>(9)</w:t>
            </w:r>
          </w:p>
        </w:tc>
        <w:tc>
          <w:tcPr>
            <w:tcW w:w="980" w:type="dxa"/>
            <w:vAlign w:val="bottom"/>
          </w:tcPr>
          <w:p>
            <w:pPr>
              <w:jc w:val="right"/>
              <w:spacing w:after="0"/>
              <w:rPr>
                <w:sz w:val="20"/>
                <w:szCs w:val="20"/>
                <w:color w:val="auto"/>
              </w:rPr>
            </w:pPr>
            <w:r>
              <w:rPr>
                <w:rFonts w:ascii="Arial" w:cs="Arial" w:eastAsia="Arial" w:hAnsi="Arial"/>
                <w:sz w:val="13"/>
                <w:szCs w:val="13"/>
                <w:color w:val="auto"/>
              </w:rPr>
              <w:t>(1,221)</w:t>
            </w:r>
          </w:p>
        </w:tc>
      </w:tr>
      <w:tr>
        <w:trPr>
          <w:trHeight w:val="128"/>
        </w:trPr>
        <w:tc>
          <w:tcPr>
            <w:tcW w:w="6260" w:type="dxa"/>
            <w:vAlign w:val="bottom"/>
            <w:tcBorders>
              <w:bottom w:val="single" w:sz="8" w:color="auto"/>
            </w:tcBorders>
            <w:gridSpan w:val="2"/>
            <w:shd w:val="clear" w:color="auto" w:fill="CCEEFF"/>
          </w:tcPr>
          <w:p>
            <w:pPr>
              <w:spacing w:after="0"/>
              <w:rPr>
                <w:sz w:val="11"/>
                <w:szCs w:val="11"/>
                <w:color w:val="auto"/>
              </w:rPr>
            </w:pPr>
          </w:p>
        </w:tc>
        <w:tc>
          <w:tcPr>
            <w:tcW w:w="40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r>
      <w:tr>
        <w:trPr>
          <w:trHeight w:val="162"/>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income tax expense in profit and loss</w:t>
            </w:r>
          </w:p>
        </w:tc>
        <w:tc>
          <w:tcPr>
            <w:tcW w:w="40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50,753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57,332</w:t>
            </w:r>
          </w:p>
        </w:tc>
      </w:tr>
      <w:tr>
        <w:trPr>
          <w:trHeight w:val="117"/>
        </w:trPr>
        <w:tc>
          <w:tcPr>
            <w:tcW w:w="140" w:type="dxa"/>
            <w:vAlign w:val="bottom"/>
            <w:shd w:val="clear" w:color="auto" w:fill="CCEEFF"/>
          </w:tcPr>
          <w:p>
            <w:pPr>
              <w:spacing w:after="0"/>
              <w:rPr>
                <w:sz w:val="10"/>
                <w:szCs w:val="10"/>
                <w:color w:val="auto"/>
              </w:rPr>
            </w:pPr>
          </w:p>
        </w:tc>
        <w:tc>
          <w:tcPr>
            <w:tcW w:w="6120" w:type="dxa"/>
            <w:vAlign w:val="bottom"/>
            <w:shd w:val="clear" w:color="auto" w:fill="CCEEFF"/>
          </w:tcPr>
          <w:p>
            <w:pPr>
              <w:spacing w:after="0"/>
              <w:rPr>
                <w:sz w:val="10"/>
                <w:szCs w:val="10"/>
                <w:color w:val="auto"/>
              </w:rPr>
            </w:pPr>
          </w:p>
        </w:tc>
        <w:tc>
          <w:tcPr>
            <w:tcW w:w="40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69"/>
        </w:trPr>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Tax recognised directly in equity</w:t>
            </w:r>
          </w:p>
        </w:tc>
        <w:tc>
          <w:tcPr>
            <w:tcW w:w="4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Deferred tax recognised directly in equity</w:t>
            </w:r>
          </w:p>
        </w:tc>
        <w:tc>
          <w:tcPr>
            <w:tcW w:w="40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1,470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r>
      <w:tr>
        <w:trPr>
          <w:trHeight w:val="169"/>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Current tax recognised directly in equity</w:t>
            </w:r>
          </w:p>
        </w:tc>
        <w:tc>
          <w:tcPr>
            <w:tcW w:w="4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(3,999)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(7,229)</w:t>
            </w:r>
          </w:p>
        </w:tc>
      </w:tr>
      <w:tr>
        <w:trPr>
          <w:trHeight w:val="108"/>
        </w:trPr>
        <w:tc>
          <w:tcPr>
            <w:tcW w:w="140" w:type="dxa"/>
            <w:vAlign w:val="bottom"/>
            <w:shd w:val="clear" w:color="auto" w:fill="CCEEFF"/>
          </w:tcPr>
          <w:p>
            <w:pPr>
              <w:spacing w:after="0"/>
              <w:rPr>
                <w:sz w:val="9"/>
                <w:szCs w:val="9"/>
                <w:color w:val="auto"/>
              </w:rPr>
            </w:pPr>
          </w:p>
        </w:tc>
        <w:tc>
          <w:tcPr>
            <w:tcW w:w="6120" w:type="dxa"/>
            <w:vAlign w:val="bottom"/>
            <w:shd w:val="clear" w:color="auto" w:fill="CCEEFF"/>
          </w:tcPr>
          <w:p>
            <w:pPr>
              <w:spacing w:after="0"/>
              <w:rPr>
                <w:sz w:val="9"/>
                <w:szCs w:val="9"/>
                <w:color w:val="auto"/>
              </w:rPr>
            </w:pPr>
          </w:p>
        </w:tc>
        <w:tc>
          <w:tcPr>
            <w:tcW w:w="40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171"/>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tax recognised in equity</w:t>
            </w:r>
          </w:p>
        </w:tc>
        <w:tc>
          <w:tcPr>
            <w:tcW w:w="4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(2,529)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(6,367)</w:t>
            </w:r>
          </w:p>
        </w:tc>
      </w:tr>
      <w:tr>
        <w:trPr>
          <w:trHeight w:val="117"/>
        </w:trPr>
        <w:tc>
          <w:tcPr>
            <w:tcW w:w="140" w:type="dxa"/>
            <w:vAlign w:val="bottom"/>
            <w:shd w:val="clear" w:color="auto" w:fill="CCEEFF"/>
          </w:tcPr>
          <w:p>
            <w:pPr>
              <w:spacing w:after="0"/>
              <w:rPr>
                <w:sz w:val="10"/>
                <w:szCs w:val="10"/>
                <w:color w:val="auto"/>
              </w:rPr>
            </w:pPr>
          </w:p>
        </w:tc>
        <w:tc>
          <w:tcPr>
            <w:tcW w:w="6120" w:type="dxa"/>
            <w:vAlign w:val="bottom"/>
            <w:shd w:val="clear" w:color="auto" w:fill="CCEEFF"/>
          </w:tcPr>
          <w:p>
            <w:pPr>
              <w:spacing w:after="0"/>
              <w:rPr>
                <w:sz w:val="10"/>
                <w:szCs w:val="10"/>
                <w:color w:val="auto"/>
              </w:rPr>
            </w:pPr>
          </w:p>
        </w:tc>
        <w:tc>
          <w:tcPr>
            <w:tcW w:w="40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69"/>
        </w:trPr>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 recognised in other comprehensive income</w:t>
            </w:r>
          </w:p>
        </w:tc>
        <w:tc>
          <w:tcPr>
            <w:tcW w:w="4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Tax on currency impact on long-term funding</w:t>
            </w:r>
          </w:p>
        </w:tc>
        <w:tc>
          <w:tcPr>
            <w:tcW w:w="40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68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08"/>
        </w:trPr>
        <w:tc>
          <w:tcPr>
            <w:tcW w:w="140" w:type="dxa"/>
            <w:vAlign w:val="bottom"/>
          </w:tcPr>
          <w:p>
            <w:pPr>
              <w:spacing w:after="0"/>
              <w:rPr>
                <w:sz w:val="9"/>
                <w:szCs w:val="9"/>
                <w:color w:val="auto"/>
              </w:rPr>
            </w:pPr>
          </w:p>
        </w:tc>
        <w:tc>
          <w:tcPr>
            <w:tcW w:w="61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71"/>
        </w:trPr>
        <w:tc>
          <w:tcPr>
            <w:tcW w:w="6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income tax recognised in other comprehensive income</w:t>
            </w:r>
          </w:p>
        </w:tc>
        <w:tc>
          <w:tcPr>
            <w:tcW w:w="40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68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bl>
    <w:p>
      <w:pPr>
        <w:spacing w:after="0" w:line="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total tax expense of $50.8 million and $57.3 million for the years ended 31 December 2020 and 31 December 2019 respectively, reflects tax at standard rates on taxable profits in the jurisdictions in which the Group operates, foreign withholding tax and the availability of tax losses.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deferred tax credit of $1.9 million for the year ended 31 December 2020 and the deferred tax credit of $2.6 million for the year ended 31 December 2019, relates to deferred tax arising in respect of net operating losses and temporary differences in property, plant and equipment, the timing of certain goodwill amortisation on US acquisitions and the timing of tax deductions available relating to the Group’s share-based compensation schemes. No deferred tax asset has been recognised on the defined benefit pension scheme deficit as it is not probable that sufficient taxable profit will be available against which the deductible temporary difference can be utilised.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696"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ind w:left="260" w:hanging="255"/>
        <w:spacing w:after="0"/>
        <w:tabs>
          <w:tab w:leader="none" w:pos="26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expected tax expense, computed by applying the standard Irish tax rate to income before tax to the actual tax expense, is as follows:</w:t>
      </w:r>
    </w:p>
    <w:tbl>
      <w:tblPr>
        <w:tblLayout w:type="fixed"/>
        <w:tblInd w:w="0" w:type="dxa"/>
        <w:tblCellMar>
          <w:top w:w="0" w:type="dxa"/>
          <w:left w:w="0" w:type="dxa"/>
          <w:bottom w:w="0" w:type="dxa"/>
          <w:right w:w="0" w:type="dxa"/>
        </w:tblCellMar>
      </w:tblPr>
      <w:tr>
        <w:trPr>
          <w:trHeight w:val="146"/>
        </w:trPr>
        <w:tc>
          <w:tcPr>
            <w:tcW w:w="6600" w:type="dxa"/>
            <w:vAlign w:val="bottom"/>
            <w:shd w:val="clear" w:color="auto" w:fill="CCEEFF"/>
          </w:tcPr>
          <w:p>
            <w:pPr>
              <w:spacing w:after="0"/>
              <w:rPr>
                <w:sz w:val="12"/>
                <w:szCs w:val="12"/>
                <w:color w:val="auto"/>
              </w:rPr>
            </w:pPr>
          </w:p>
        </w:tc>
        <w:tc>
          <w:tcPr>
            <w:tcW w:w="3200" w:type="dxa"/>
            <w:vAlign w:val="bottom"/>
            <w:shd w:val="clear" w:color="auto" w:fill="CCEEFF"/>
          </w:tcPr>
          <w:p>
            <w:pPr>
              <w:jc w:val="right"/>
              <w:ind w:right="56"/>
              <w:spacing w:after="0" w:line="146" w:lineRule="exact"/>
              <w:rPr>
                <w:sz w:val="20"/>
                <w:szCs w:val="20"/>
                <w:color w:val="auto"/>
              </w:rPr>
            </w:pPr>
            <w:r>
              <w:rPr>
                <w:rFonts w:ascii="Arial" w:cs="Arial" w:eastAsia="Arial" w:hAnsi="Arial"/>
                <w:sz w:val="13"/>
                <w:szCs w:val="13"/>
                <w:b w:val="1"/>
                <w:bCs w:val="1"/>
                <w:color w:val="auto"/>
              </w:rPr>
              <w:t>Year ended 31 December</w:t>
            </w:r>
          </w:p>
        </w:tc>
        <w:tc>
          <w:tcPr>
            <w:tcW w:w="1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6"/>
              </w:rPr>
              <w:t>Year ended 31 December</w:t>
            </w:r>
          </w:p>
        </w:tc>
      </w:tr>
      <w:tr>
        <w:trPr>
          <w:trHeight w:val="169"/>
        </w:trPr>
        <w:tc>
          <w:tcPr>
            <w:tcW w:w="6600" w:type="dxa"/>
            <w:vAlign w:val="bottom"/>
            <w:tcBorders>
              <w:bottom w:val="single" w:sz="8" w:color="auto"/>
            </w:tcBorders>
            <w:shd w:val="clear" w:color="auto" w:fill="CCEEFF"/>
          </w:tcPr>
          <w:p>
            <w:pPr>
              <w:spacing w:after="0"/>
              <w:rPr>
                <w:sz w:val="14"/>
                <w:szCs w:val="14"/>
                <w:color w:val="auto"/>
              </w:rPr>
            </w:pPr>
          </w:p>
        </w:tc>
        <w:tc>
          <w:tcPr>
            <w:tcW w:w="3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6600" w:type="dxa"/>
            <w:vAlign w:val="bottom"/>
          </w:tcPr>
          <w:p>
            <w:pPr>
              <w:spacing w:after="0"/>
              <w:rPr>
                <w:sz w:val="13"/>
                <w:szCs w:val="13"/>
                <w:color w:val="auto"/>
              </w:rPr>
            </w:pPr>
          </w:p>
        </w:tc>
        <w:tc>
          <w:tcPr>
            <w:tcW w:w="320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66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3"/>
                <w:szCs w:val="13"/>
                <w:color w:val="auto"/>
              </w:rPr>
              <w:t>Profit before tax</w:t>
            </w:r>
          </w:p>
        </w:tc>
        <w:tc>
          <w:tcPr>
            <w:tcW w:w="3200" w:type="dxa"/>
            <w:vAlign w:val="bottom"/>
          </w:tcPr>
          <w:p>
            <w:pPr>
              <w:jc w:val="right"/>
              <w:ind w:right="196"/>
              <w:spacing w:after="0"/>
              <w:rPr>
                <w:sz w:val="20"/>
                <w:szCs w:val="20"/>
                <w:color w:val="auto"/>
              </w:rPr>
            </w:pPr>
            <w:r>
              <w:rPr>
                <w:rFonts w:ascii="Arial" w:cs="Arial" w:eastAsia="Arial" w:hAnsi="Arial"/>
                <w:sz w:val="13"/>
                <w:szCs w:val="13"/>
                <w:b w:val="1"/>
                <w:bCs w:val="1"/>
                <w:color w:val="auto"/>
              </w:rPr>
              <w:t>382,178</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418,365</w:t>
            </w:r>
          </w:p>
        </w:tc>
      </w:tr>
      <w:tr>
        <w:trPr>
          <w:trHeight w:val="17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Irish standard tax rate</w:t>
            </w:r>
          </w:p>
        </w:tc>
        <w:tc>
          <w:tcPr>
            <w:tcW w:w="3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12.5 %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12.5 %</w:t>
            </w:r>
          </w:p>
        </w:tc>
      </w:tr>
      <w:tr>
        <w:trPr>
          <w:trHeight w:val="182"/>
        </w:trPr>
        <w:tc>
          <w:tcPr>
            <w:tcW w:w="6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9"/>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Taxes at Irish standard tax rate</w:t>
            </w:r>
          </w:p>
        </w:tc>
        <w:tc>
          <w:tcPr>
            <w:tcW w:w="3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47,772</w:t>
            </w:r>
          </w:p>
        </w:tc>
        <w:tc>
          <w:tcPr>
            <w:tcW w:w="14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52,296</w:t>
            </w:r>
          </w:p>
        </w:tc>
      </w:tr>
      <w:tr>
        <w:trPr>
          <w:trHeight w:val="184"/>
        </w:trPr>
        <w:tc>
          <w:tcPr>
            <w:tcW w:w="6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2"/>
        </w:trPr>
        <w:tc>
          <w:tcPr>
            <w:tcW w:w="66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3"/>
        </w:trPr>
        <w:tc>
          <w:tcPr>
            <w:tcW w:w="6600" w:type="dxa"/>
            <w:vAlign w:val="bottom"/>
          </w:tcPr>
          <w:p>
            <w:pPr>
              <w:ind w:left="20"/>
              <w:spacing w:after="0"/>
              <w:rPr>
                <w:sz w:val="20"/>
                <w:szCs w:val="20"/>
                <w:color w:val="auto"/>
              </w:rPr>
            </w:pPr>
            <w:r>
              <w:rPr>
                <w:rFonts w:ascii="Arial" w:cs="Arial" w:eastAsia="Arial" w:hAnsi="Arial"/>
                <w:sz w:val="13"/>
                <w:szCs w:val="13"/>
                <w:color w:val="auto"/>
              </w:rPr>
              <w:t>Over provision in respect to prior years</w:t>
            </w:r>
          </w:p>
        </w:tc>
        <w:tc>
          <w:tcPr>
            <w:tcW w:w="3200" w:type="dxa"/>
            <w:vAlign w:val="bottom"/>
          </w:tcPr>
          <w:p>
            <w:pPr>
              <w:jc w:val="right"/>
              <w:ind w:right="156"/>
              <w:spacing w:after="0"/>
              <w:rPr>
                <w:sz w:val="20"/>
                <w:szCs w:val="20"/>
                <w:color w:val="auto"/>
              </w:rPr>
            </w:pPr>
            <w:r>
              <w:rPr>
                <w:rFonts w:ascii="Arial" w:cs="Arial" w:eastAsia="Arial" w:hAnsi="Arial"/>
                <w:sz w:val="13"/>
                <w:szCs w:val="13"/>
                <w:b w:val="1"/>
                <w:bCs w:val="1"/>
                <w:color w:val="auto"/>
              </w:rPr>
              <w:t>(9)</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(1,221)</w:t>
            </w:r>
          </w:p>
        </w:tc>
      </w:tr>
      <w:tr>
        <w:trPr>
          <w:trHeight w:val="177"/>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and other income taxed at higher rates</w:t>
            </w:r>
          </w:p>
        </w:tc>
        <w:tc>
          <w:tcPr>
            <w:tcW w:w="32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7,943</w:t>
            </w:r>
          </w:p>
        </w:tc>
        <w:tc>
          <w:tcPr>
            <w:tcW w:w="14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7,109</w:t>
            </w:r>
          </w:p>
        </w:tc>
      </w:tr>
      <w:tr>
        <w:trPr>
          <w:trHeight w:val="169"/>
        </w:trPr>
        <w:tc>
          <w:tcPr>
            <w:tcW w:w="6600" w:type="dxa"/>
            <w:vAlign w:val="bottom"/>
          </w:tcPr>
          <w:p>
            <w:pPr>
              <w:ind w:left="20"/>
              <w:spacing w:after="0"/>
              <w:rPr>
                <w:sz w:val="20"/>
                <w:szCs w:val="20"/>
                <w:color w:val="auto"/>
              </w:rPr>
            </w:pPr>
            <w:r>
              <w:rPr>
                <w:rFonts w:ascii="Arial" w:cs="Arial" w:eastAsia="Arial" w:hAnsi="Arial"/>
                <w:sz w:val="13"/>
                <w:szCs w:val="13"/>
                <w:color w:val="auto"/>
              </w:rPr>
              <w:t>Effect of change in tax rates</w:t>
            </w:r>
          </w:p>
        </w:tc>
        <w:tc>
          <w:tcPr>
            <w:tcW w:w="3200" w:type="dxa"/>
            <w:vAlign w:val="bottom"/>
          </w:tcPr>
          <w:p>
            <w:pPr>
              <w:jc w:val="right"/>
              <w:ind w:right="196"/>
              <w:spacing w:after="0"/>
              <w:rPr>
                <w:sz w:val="20"/>
                <w:szCs w:val="20"/>
                <w:color w:val="auto"/>
              </w:rPr>
            </w:pPr>
            <w:r>
              <w:rPr>
                <w:rFonts w:ascii="Arial" w:cs="Arial" w:eastAsia="Arial" w:hAnsi="Arial"/>
                <w:sz w:val="13"/>
                <w:szCs w:val="13"/>
                <w:b w:val="1"/>
                <w:bCs w:val="1"/>
                <w:color w:val="auto"/>
              </w:rPr>
              <w:t>108</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359</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unrecognised tax benefits</w:t>
            </w:r>
          </w:p>
        </w:tc>
        <w:tc>
          <w:tcPr>
            <w:tcW w:w="32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(1,672)</w:t>
            </w: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(1,273)</w:t>
            </w:r>
          </w:p>
        </w:tc>
      </w:tr>
      <w:tr>
        <w:trPr>
          <w:trHeight w:val="169"/>
        </w:trPr>
        <w:tc>
          <w:tcPr>
            <w:tcW w:w="6600" w:type="dxa"/>
            <w:vAlign w:val="bottom"/>
          </w:tcPr>
          <w:p>
            <w:pPr>
              <w:ind w:left="20"/>
              <w:spacing w:after="0"/>
              <w:rPr>
                <w:sz w:val="20"/>
                <w:szCs w:val="20"/>
                <w:color w:val="auto"/>
              </w:rPr>
            </w:pPr>
            <w:r>
              <w:rPr>
                <w:rFonts w:ascii="Arial" w:cs="Arial" w:eastAsia="Arial" w:hAnsi="Arial"/>
                <w:sz w:val="13"/>
                <w:szCs w:val="13"/>
                <w:color w:val="auto"/>
              </w:rPr>
              <w:t>Losses for which no benefit has been recognised</w:t>
            </w:r>
          </w:p>
        </w:tc>
        <w:tc>
          <w:tcPr>
            <w:tcW w:w="3200" w:type="dxa"/>
            <w:vAlign w:val="bottom"/>
          </w:tcPr>
          <w:p>
            <w:pPr>
              <w:jc w:val="right"/>
              <w:ind w:right="196"/>
              <w:spacing w:after="0"/>
              <w:rPr>
                <w:sz w:val="20"/>
                <w:szCs w:val="20"/>
                <w:color w:val="auto"/>
              </w:rPr>
            </w:pPr>
            <w:r>
              <w:rPr>
                <w:rFonts w:ascii="Arial" w:cs="Arial" w:eastAsia="Arial" w:hAnsi="Arial"/>
                <w:sz w:val="13"/>
                <w:szCs w:val="13"/>
                <w:b w:val="1"/>
                <w:bCs w:val="1"/>
                <w:color w:val="auto"/>
              </w:rPr>
              <w:t>—</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(10)</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 tax incentives</w:t>
            </w:r>
          </w:p>
        </w:tc>
        <w:tc>
          <w:tcPr>
            <w:tcW w:w="32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(1,243)</w:t>
            </w: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(893)</w:t>
            </w:r>
          </w:p>
        </w:tc>
      </w:tr>
      <w:tr>
        <w:trPr>
          <w:trHeight w:val="169"/>
        </w:trPr>
        <w:tc>
          <w:tcPr>
            <w:tcW w:w="6600" w:type="dxa"/>
            <w:vAlign w:val="bottom"/>
          </w:tcPr>
          <w:p>
            <w:pPr>
              <w:ind w:left="20"/>
              <w:spacing w:after="0"/>
              <w:rPr>
                <w:sz w:val="20"/>
                <w:szCs w:val="20"/>
                <w:color w:val="auto"/>
              </w:rPr>
            </w:pPr>
            <w:r>
              <w:rPr>
                <w:rFonts w:ascii="Arial" w:cs="Arial" w:eastAsia="Arial" w:hAnsi="Arial"/>
                <w:sz w:val="13"/>
                <w:szCs w:val="13"/>
                <w:color w:val="auto"/>
              </w:rPr>
              <w:t>Impact of stock compensation</w:t>
            </w:r>
          </w:p>
        </w:tc>
        <w:tc>
          <w:tcPr>
            <w:tcW w:w="3200" w:type="dxa"/>
            <w:vAlign w:val="bottom"/>
          </w:tcPr>
          <w:p>
            <w:pPr>
              <w:jc w:val="right"/>
              <w:ind w:right="156"/>
              <w:spacing w:after="0"/>
              <w:rPr>
                <w:sz w:val="20"/>
                <w:szCs w:val="20"/>
                <w:color w:val="auto"/>
              </w:rPr>
            </w:pPr>
            <w:r>
              <w:rPr>
                <w:rFonts w:ascii="Arial" w:cs="Arial" w:eastAsia="Arial" w:hAnsi="Arial"/>
                <w:sz w:val="13"/>
                <w:szCs w:val="13"/>
                <w:b w:val="1"/>
                <w:bCs w:val="1"/>
                <w:color w:val="auto"/>
              </w:rPr>
              <w:t>(2,212)</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(1,003)</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of loss of Associate already tax effected</w:t>
            </w:r>
          </w:p>
        </w:tc>
        <w:tc>
          <w:tcPr>
            <w:tcW w:w="32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46</w:t>
            </w:r>
          </w:p>
        </w:tc>
        <w:tc>
          <w:tcPr>
            <w:tcW w:w="14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w:t>
            </w:r>
          </w:p>
        </w:tc>
      </w:tr>
      <w:tr>
        <w:trPr>
          <w:trHeight w:val="16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32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w:t>
            </w:r>
          </w:p>
        </w:tc>
        <w:tc>
          <w:tcPr>
            <w:tcW w:w="14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1,968</w:t>
            </w:r>
          </w:p>
        </w:tc>
      </w:tr>
      <w:tr>
        <w:trPr>
          <w:trHeight w:val="182"/>
        </w:trPr>
        <w:tc>
          <w:tcPr>
            <w:tcW w:w="660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71"/>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Tax expense on profit for the year</w:t>
            </w:r>
          </w:p>
        </w:tc>
        <w:tc>
          <w:tcPr>
            <w:tcW w:w="32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50,753</w:t>
            </w:r>
          </w:p>
        </w:tc>
        <w:tc>
          <w:tcPr>
            <w:tcW w:w="14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57,332</w:t>
            </w:r>
          </w:p>
        </w:tc>
      </w:tr>
      <w:tr>
        <w:trPr>
          <w:trHeight w:val="218"/>
        </w:trPr>
        <w:tc>
          <w:tcPr>
            <w:tcW w:w="6600" w:type="dxa"/>
            <w:vAlign w:val="bottom"/>
          </w:tcPr>
          <w:p>
            <w:pPr>
              <w:spacing w:after="0"/>
              <w:rPr>
                <w:sz w:val="20"/>
                <w:szCs w:val="20"/>
                <w:color w:val="auto"/>
              </w:rPr>
            </w:pPr>
            <w:r>
              <w:rPr>
                <w:rFonts w:ascii="Arial" w:cs="Arial" w:eastAsia="Arial" w:hAnsi="Arial"/>
                <w:sz w:val="13"/>
                <w:szCs w:val="13"/>
                <w:color w:val="auto"/>
              </w:rPr>
              <w:t>The net deferred tax asset at 31 December 2020 and 31 December 2019 was as follows:</w:t>
            </w:r>
          </w:p>
        </w:tc>
        <w:tc>
          <w:tcPr>
            <w:tcW w:w="3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89"/>
        </w:trPr>
        <w:tc>
          <w:tcPr>
            <w:tcW w:w="6600" w:type="dxa"/>
            <w:vAlign w:val="bottom"/>
          </w:tcPr>
          <w:p>
            <w:pPr>
              <w:spacing w:after="0"/>
              <w:rPr>
                <w:sz w:val="7"/>
                <w:szCs w:val="7"/>
                <w:color w:val="auto"/>
              </w:rPr>
            </w:pPr>
          </w:p>
        </w:tc>
        <w:tc>
          <w:tcPr>
            <w:tcW w:w="4680" w:type="dxa"/>
            <w:vAlign w:val="bottom"/>
            <w:gridSpan w:val="2"/>
          </w:tcPr>
          <w:p>
            <w:pPr>
              <w:spacing w:after="0"/>
              <w:rPr>
                <w:sz w:val="7"/>
                <w:szCs w:val="7"/>
                <w:color w:val="auto"/>
              </w:rPr>
            </w:pPr>
          </w:p>
        </w:tc>
      </w:tr>
      <w:tr>
        <w:trPr>
          <w:trHeight w:val="127"/>
        </w:trPr>
        <w:tc>
          <w:tcPr>
            <w:tcW w:w="6600" w:type="dxa"/>
            <w:vAlign w:val="bottom"/>
            <w:shd w:val="clear" w:color="auto" w:fill="CCEEFF"/>
          </w:tcPr>
          <w:p>
            <w:pPr>
              <w:spacing w:after="0"/>
              <w:rPr>
                <w:sz w:val="11"/>
                <w:szCs w:val="11"/>
                <w:color w:val="auto"/>
              </w:rPr>
            </w:pPr>
          </w:p>
        </w:tc>
        <w:tc>
          <w:tcPr>
            <w:tcW w:w="46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6600" w:type="dxa"/>
            <w:vAlign w:val="bottom"/>
            <w:tcBorders>
              <w:bottom w:val="single" w:sz="8" w:color="auto"/>
            </w:tcBorders>
            <w:shd w:val="clear" w:color="auto" w:fill="CCEEFF"/>
          </w:tcPr>
          <w:p>
            <w:pPr>
              <w:spacing w:after="0"/>
              <w:rPr>
                <w:sz w:val="14"/>
                <w:szCs w:val="14"/>
                <w:color w:val="auto"/>
              </w:rPr>
            </w:pP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6600" w:type="dxa"/>
            <w:vAlign w:val="bottom"/>
          </w:tcPr>
          <w:p>
            <w:pPr>
              <w:spacing w:after="0"/>
              <w:rPr>
                <w:sz w:val="13"/>
                <w:szCs w:val="13"/>
                <w:color w:val="auto"/>
              </w:rPr>
            </w:pPr>
          </w:p>
        </w:tc>
        <w:tc>
          <w:tcPr>
            <w:tcW w:w="32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3"/>
                <w:szCs w:val="13"/>
                <w:color w:val="auto"/>
              </w:rPr>
              <w:t>Net operating losses carried forward</w:t>
            </w:r>
          </w:p>
        </w:tc>
        <w:tc>
          <w:tcPr>
            <w:tcW w:w="3200" w:type="dxa"/>
            <w:vAlign w:val="bottom"/>
          </w:tcPr>
          <w:p>
            <w:pPr>
              <w:jc w:val="right"/>
              <w:spacing w:after="0"/>
              <w:rPr>
                <w:sz w:val="20"/>
                <w:szCs w:val="20"/>
                <w:color w:val="auto"/>
              </w:rPr>
            </w:pPr>
            <w:r>
              <w:rPr>
                <w:rFonts w:ascii="Arial" w:cs="Arial" w:eastAsia="Arial" w:hAnsi="Arial"/>
                <w:sz w:val="13"/>
                <w:szCs w:val="13"/>
                <w:b w:val="1"/>
                <w:bCs w:val="1"/>
                <w:color w:val="auto"/>
              </w:rPr>
              <w:t>12,412</w:t>
            </w:r>
          </w:p>
        </w:tc>
        <w:tc>
          <w:tcPr>
            <w:tcW w:w="1480" w:type="dxa"/>
            <w:vAlign w:val="bottom"/>
          </w:tcPr>
          <w:p>
            <w:pPr>
              <w:jc w:val="right"/>
              <w:spacing w:after="0"/>
              <w:rPr>
                <w:sz w:val="20"/>
                <w:szCs w:val="20"/>
                <w:color w:val="auto"/>
              </w:rPr>
            </w:pPr>
            <w:r>
              <w:rPr>
                <w:rFonts w:ascii="Arial" w:cs="Arial" w:eastAsia="Arial" w:hAnsi="Arial"/>
                <w:sz w:val="13"/>
                <w:szCs w:val="13"/>
                <w:color w:val="auto"/>
              </w:rPr>
              <w:t>11,774</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3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22,076</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24,830</w:t>
            </w:r>
          </w:p>
        </w:tc>
      </w:tr>
      <w:tr>
        <w:trPr>
          <w:trHeight w:val="169"/>
        </w:trPr>
        <w:tc>
          <w:tcPr>
            <w:tcW w:w="660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200" w:type="dxa"/>
            <w:vAlign w:val="bottom"/>
          </w:tcPr>
          <w:p>
            <w:pPr>
              <w:jc w:val="right"/>
              <w:spacing w:after="0"/>
              <w:rPr>
                <w:sz w:val="20"/>
                <w:szCs w:val="20"/>
                <w:color w:val="auto"/>
              </w:rPr>
            </w:pPr>
            <w:r>
              <w:rPr>
                <w:rFonts w:ascii="Arial" w:cs="Arial" w:eastAsia="Arial" w:hAnsi="Arial"/>
                <w:sz w:val="13"/>
                <w:szCs w:val="13"/>
                <w:b w:val="1"/>
                <w:bCs w:val="1"/>
                <w:color w:val="auto"/>
              </w:rPr>
              <w:t>5,974</w:t>
            </w:r>
          </w:p>
        </w:tc>
        <w:tc>
          <w:tcPr>
            <w:tcW w:w="1480" w:type="dxa"/>
            <w:vAlign w:val="bottom"/>
          </w:tcPr>
          <w:p>
            <w:pPr>
              <w:jc w:val="right"/>
              <w:spacing w:after="0"/>
              <w:rPr>
                <w:sz w:val="20"/>
                <w:szCs w:val="20"/>
                <w:color w:val="auto"/>
              </w:rPr>
            </w:pPr>
            <w:r>
              <w:rPr>
                <w:rFonts w:ascii="Arial" w:cs="Arial" w:eastAsia="Arial" w:hAnsi="Arial"/>
                <w:sz w:val="13"/>
                <w:szCs w:val="13"/>
                <w:color w:val="auto"/>
              </w:rPr>
              <w:t>5,195</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w:t>
            </w:r>
          </w:p>
        </w:tc>
        <w:tc>
          <w:tcPr>
            <w:tcW w:w="3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2,257</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3,933</w:t>
            </w:r>
          </w:p>
        </w:tc>
      </w:tr>
      <w:tr>
        <w:trPr>
          <w:trHeight w:val="169"/>
        </w:trPr>
        <w:tc>
          <w:tcPr>
            <w:tcW w:w="6600" w:type="dxa"/>
            <w:vAlign w:val="bottom"/>
          </w:tcPr>
          <w:p>
            <w:pPr>
              <w:ind w:left="20"/>
              <w:spacing w:after="0"/>
              <w:rPr>
                <w:sz w:val="20"/>
                <w:szCs w:val="20"/>
                <w:color w:val="auto"/>
              </w:rPr>
            </w:pPr>
            <w:r>
              <w:rPr>
                <w:rFonts w:ascii="Arial" w:cs="Arial" w:eastAsia="Arial" w:hAnsi="Arial"/>
                <w:sz w:val="13"/>
                <w:szCs w:val="13"/>
                <w:color w:val="auto"/>
              </w:rPr>
              <w:t>Deferred compensation</w:t>
            </w:r>
          </w:p>
        </w:tc>
        <w:tc>
          <w:tcPr>
            <w:tcW w:w="3200" w:type="dxa"/>
            <w:vAlign w:val="bottom"/>
          </w:tcPr>
          <w:p>
            <w:pPr>
              <w:jc w:val="right"/>
              <w:spacing w:after="0"/>
              <w:rPr>
                <w:sz w:val="20"/>
                <w:szCs w:val="20"/>
                <w:color w:val="auto"/>
              </w:rPr>
            </w:pPr>
            <w:r>
              <w:rPr>
                <w:rFonts w:ascii="Arial" w:cs="Arial" w:eastAsia="Arial" w:hAnsi="Arial"/>
                <w:sz w:val="13"/>
                <w:szCs w:val="13"/>
                <w:b w:val="1"/>
                <w:bCs w:val="1"/>
                <w:color w:val="auto"/>
              </w:rPr>
              <w:t>3,184</w:t>
            </w:r>
          </w:p>
        </w:tc>
        <w:tc>
          <w:tcPr>
            <w:tcW w:w="1480" w:type="dxa"/>
            <w:vAlign w:val="bottom"/>
          </w:tcPr>
          <w:p>
            <w:pPr>
              <w:jc w:val="right"/>
              <w:spacing w:after="0"/>
              <w:rPr>
                <w:sz w:val="20"/>
                <w:szCs w:val="20"/>
                <w:color w:val="auto"/>
              </w:rPr>
            </w:pPr>
            <w:r>
              <w:rPr>
                <w:rFonts w:ascii="Arial" w:cs="Arial" w:eastAsia="Arial" w:hAnsi="Arial"/>
                <w:sz w:val="13"/>
                <w:szCs w:val="13"/>
                <w:color w:val="auto"/>
              </w:rPr>
              <w:t>2,744</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3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21,338</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23,082</w:t>
            </w:r>
          </w:p>
        </w:tc>
      </w:tr>
      <w:tr>
        <w:trPr>
          <w:trHeight w:val="16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w:t>
            </w:r>
          </w:p>
        </w:tc>
      </w:tr>
      <w:tr>
        <w:trPr>
          <w:trHeight w:val="161"/>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67,599</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72,240</w:t>
            </w:r>
          </w:p>
        </w:tc>
      </w:tr>
      <w:tr>
        <w:trPr>
          <w:trHeight w:val="16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offset against deferred tax liabilities</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(37,229)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(37,485)</w:t>
            </w:r>
          </w:p>
        </w:tc>
      </w:tr>
      <w:tr>
        <w:trPr>
          <w:trHeight w:val="182"/>
        </w:trPr>
        <w:tc>
          <w:tcPr>
            <w:tcW w:w="660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6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Deferred tax asset disclosed on Consolidated Statement of Financial Position</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30,370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34,755</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696"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2"/>
          <w:szCs w:val="12"/>
          <w:b w:val="1"/>
          <w:bCs w:val="1"/>
          <w:color w:val="auto"/>
        </w:rPr>
        <w:t>Income tax expense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6640" w:type="dxa"/>
            <w:vAlign w:val="bottom"/>
            <w:tcBorders>
              <w:bottom w:val="single" w:sz="8" w:color="auto"/>
            </w:tcBorders>
            <w:shd w:val="clear" w:color="auto" w:fill="CCEEFF"/>
          </w:tcPr>
          <w:p>
            <w:pPr>
              <w:spacing w:after="0"/>
              <w:rPr>
                <w:sz w:val="14"/>
                <w:szCs w:val="14"/>
                <w:color w:val="auto"/>
              </w:rPr>
            </w:pPr>
          </w:p>
        </w:tc>
        <w:tc>
          <w:tcPr>
            <w:tcW w:w="3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664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64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640" w:type="dxa"/>
            <w:vAlign w:val="bottom"/>
            <w:shd w:val="clear" w:color="auto" w:fill="CCEEFF"/>
          </w:tcPr>
          <w:p>
            <w:pPr>
              <w:spacing w:after="0"/>
              <w:rPr>
                <w:sz w:val="14"/>
                <w:szCs w:val="14"/>
                <w:color w:val="auto"/>
              </w:rPr>
            </w:pPr>
          </w:p>
        </w:tc>
        <w:tc>
          <w:tcPr>
            <w:tcW w:w="36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9"/>
        </w:trPr>
        <w:tc>
          <w:tcPr>
            <w:tcW w:w="664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640" w:type="dxa"/>
            <w:vAlign w:val="bottom"/>
          </w:tcPr>
          <w:p>
            <w:pPr>
              <w:jc w:val="right"/>
              <w:ind w:right="476"/>
              <w:spacing w:after="0"/>
              <w:rPr>
                <w:sz w:val="20"/>
                <w:szCs w:val="20"/>
                <w:color w:val="auto"/>
              </w:rPr>
            </w:pPr>
            <w:r>
              <w:rPr>
                <w:rFonts w:ascii="Arial" w:cs="Arial" w:eastAsia="Arial" w:hAnsi="Arial"/>
                <w:sz w:val="13"/>
                <w:szCs w:val="13"/>
                <w:b w:val="1"/>
                <w:bCs w:val="1"/>
                <w:color w:val="auto"/>
              </w:rPr>
              <w:t>1,359</w:t>
            </w:r>
          </w:p>
        </w:tc>
        <w:tc>
          <w:tcPr>
            <w:tcW w:w="1000" w:type="dxa"/>
            <w:vAlign w:val="bottom"/>
          </w:tcPr>
          <w:p>
            <w:pPr>
              <w:jc w:val="right"/>
              <w:spacing w:after="0"/>
              <w:rPr>
                <w:sz w:val="20"/>
                <w:szCs w:val="20"/>
                <w:color w:val="auto"/>
              </w:rPr>
            </w:pPr>
            <w:r>
              <w:rPr>
                <w:rFonts w:ascii="Arial" w:cs="Arial" w:eastAsia="Arial" w:hAnsi="Arial"/>
                <w:sz w:val="13"/>
                <w:szCs w:val="13"/>
                <w:color w:val="auto"/>
              </w:rPr>
              <w:t>1,102</w:t>
            </w: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and related assets</w:t>
            </w:r>
          </w:p>
        </w:tc>
        <w:tc>
          <w:tcPr>
            <w:tcW w:w="36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31,629</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27,590</w:t>
            </w:r>
          </w:p>
        </w:tc>
      </w:tr>
      <w:tr>
        <w:trPr>
          <w:trHeight w:val="169"/>
        </w:trPr>
        <w:tc>
          <w:tcPr>
            <w:tcW w:w="6640" w:type="dxa"/>
            <w:vAlign w:val="bottom"/>
          </w:tcPr>
          <w:p>
            <w:pPr>
              <w:ind w:left="20"/>
              <w:spacing w:after="0"/>
              <w:rPr>
                <w:sz w:val="20"/>
                <w:szCs w:val="20"/>
                <w:color w:val="auto"/>
              </w:rPr>
            </w:pPr>
            <w:r>
              <w:rPr>
                <w:rFonts w:ascii="Arial" w:cs="Arial" w:eastAsia="Arial" w:hAnsi="Arial"/>
                <w:sz w:val="13"/>
                <w:szCs w:val="13"/>
                <w:color w:val="auto"/>
              </w:rPr>
              <w:t>Other intangible assets</w:t>
            </w:r>
          </w:p>
        </w:tc>
        <w:tc>
          <w:tcPr>
            <w:tcW w:w="3640" w:type="dxa"/>
            <w:vAlign w:val="bottom"/>
          </w:tcPr>
          <w:p>
            <w:pPr>
              <w:jc w:val="right"/>
              <w:ind w:right="476"/>
              <w:spacing w:after="0"/>
              <w:rPr>
                <w:sz w:val="20"/>
                <w:szCs w:val="20"/>
                <w:color w:val="auto"/>
              </w:rPr>
            </w:pPr>
            <w:r>
              <w:rPr>
                <w:rFonts w:ascii="Arial" w:cs="Arial" w:eastAsia="Arial" w:hAnsi="Arial"/>
                <w:sz w:val="13"/>
                <w:szCs w:val="13"/>
                <w:b w:val="1"/>
                <w:bCs w:val="1"/>
                <w:color w:val="auto"/>
              </w:rPr>
              <w:t>13,398</w:t>
            </w:r>
          </w:p>
        </w:tc>
        <w:tc>
          <w:tcPr>
            <w:tcW w:w="1000" w:type="dxa"/>
            <w:vAlign w:val="bottom"/>
          </w:tcPr>
          <w:p>
            <w:pPr>
              <w:jc w:val="right"/>
              <w:spacing w:after="0"/>
              <w:rPr>
                <w:sz w:val="20"/>
                <w:szCs w:val="20"/>
                <w:color w:val="auto"/>
              </w:rPr>
            </w:pPr>
            <w:r>
              <w:rPr>
                <w:rFonts w:ascii="Arial" w:cs="Arial" w:eastAsia="Arial" w:hAnsi="Arial"/>
                <w:sz w:val="13"/>
                <w:szCs w:val="13"/>
                <w:color w:val="auto"/>
              </w:rPr>
              <w:t>11,805</w:t>
            </w: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1,009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6,284</w:t>
            </w:r>
          </w:p>
        </w:tc>
      </w:tr>
      <w:tr>
        <w:trPr>
          <w:trHeight w:val="160"/>
        </w:trPr>
        <w:tc>
          <w:tcPr>
            <w:tcW w:w="6640" w:type="dxa"/>
            <w:vAlign w:val="bottom"/>
          </w:tcPr>
          <w:p>
            <w:pPr>
              <w:ind w:left="20"/>
              <w:spacing w:after="0"/>
              <w:rPr>
                <w:sz w:val="20"/>
                <w:szCs w:val="20"/>
                <w:color w:val="auto"/>
              </w:rPr>
            </w:pPr>
            <w:r>
              <w:rPr>
                <w:rFonts w:ascii="Arial" w:cs="Arial" w:eastAsia="Arial" w:hAnsi="Arial"/>
                <w:sz w:val="13"/>
                <w:szCs w:val="13"/>
                <w:color w:val="auto"/>
              </w:rPr>
              <w:t>Total deferred taxation liabilities</w:t>
            </w:r>
          </w:p>
        </w:tc>
        <w:tc>
          <w:tcPr>
            <w:tcW w:w="3640" w:type="dxa"/>
            <w:vAlign w:val="bottom"/>
          </w:tcPr>
          <w:p>
            <w:pPr>
              <w:jc w:val="right"/>
              <w:ind w:right="476"/>
              <w:spacing w:after="0"/>
              <w:rPr>
                <w:sz w:val="20"/>
                <w:szCs w:val="20"/>
                <w:color w:val="auto"/>
              </w:rPr>
            </w:pPr>
            <w:r>
              <w:rPr>
                <w:rFonts w:ascii="Arial" w:cs="Arial" w:eastAsia="Arial" w:hAnsi="Arial"/>
                <w:sz w:val="13"/>
                <w:szCs w:val="13"/>
                <w:b w:val="1"/>
                <w:bCs w:val="1"/>
                <w:color w:val="auto"/>
              </w:rPr>
              <w:t>47,395</w:t>
            </w:r>
          </w:p>
        </w:tc>
        <w:tc>
          <w:tcPr>
            <w:tcW w:w="1000" w:type="dxa"/>
            <w:vAlign w:val="bottom"/>
          </w:tcPr>
          <w:p>
            <w:pPr>
              <w:jc w:val="right"/>
              <w:spacing w:after="0"/>
              <w:rPr>
                <w:sz w:val="20"/>
                <w:szCs w:val="20"/>
                <w:color w:val="auto"/>
              </w:rPr>
            </w:pPr>
            <w:r>
              <w:rPr>
                <w:rFonts w:ascii="Arial" w:cs="Arial" w:eastAsia="Arial" w:hAnsi="Arial"/>
                <w:sz w:val="13"/>
                <w:szCs w:val="13"/>
                <w:color w:val="auto"/>
              </w:rPr>
              <w:t>46,781</w:t>
            </w: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offset against deferred tax assets</w:t>
            </w:r>
          </w:p>
        </w:tc>
        <w:tc>
          <w:tcPr>
            <w:tcW w:w="3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(37,229)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(37,485)</w:t>
            </w:r>
          </w:p>
        </w:tc>
      </w:tr>
      <w:tr>
        <w:trPr>
          <w:trHeight w:val="150"/>
        </w:trPr>
        <w:tc>
          <w:tcPr>
            <w:tcW w:w="66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9"/>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liability disclosed on Consolidated Statement of Financial Position</w:t>
            </w:r>
          </w:p>
        </w:tc>
        <w:tc>
          <w:tcPr>
            <w:tcW w:w="3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10,166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9,296</w:t>
            </w:r>
          </w:p>
        </w:tc>
      </w:tr>
      <w:tr>
        <w:trPr>
          <w:trHeight w:val="150"/>
        </w:trPr>
        <w:tc>
          <w:tcPr>
            <w:tcW w:w="66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1"/>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20,204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25,459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2020 was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1 January</w:t>
            </w:r>
          </w:p>
        </w:tc>
        <w:tc>
          <w:tcPr>
            <w:tcW w:w="162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98"/>
              </w:rPr>
              <w:t>Recognised in Income</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Recognised on</w:t>
            </w:r>
          </w:p>
        </w:tc>
        <w:tc>
          <w:tcPr>
            <w:tcW w:w="202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Recognised in Other</w:t>
            </w: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w:t>
            </w:r>
          </w:p>
        </w:tc>
        <w:tc>
          <w:tcPr>
            <w:tcW w:w="0" w:type="dxa"/>
            <w:vAlign w:val="bottom"/>
          </w:tcPr>
          <w:p>
            <w:pPr>
              <w:spacing w:after="0"/>
              <w:rPr>
                <w:sz w:val="1"/>
                <w:szCs w:val="1"/>
                <w:color w:val="auto"/>
              </w:rPr>
            </w:pPr>
          </w:p>
        </w:tc>
      </w:tr>
      <w:tr>
        <w:trPr>
          <w:trHeight w:val="169"/>
        </w:trPr>
        <w:tc>
          <w:tcPr>
            <w:tcW w:w="26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Acquisition</w:t>
            </w:r>
          </w:p>
        </w:tc>
        <w:tc>
          <w:tcPr>
            <w:tcW w:w="3080" w:type="dxa"/>
            <w:vAlign w:val="bottom"/>
            <w:tcBorders>
              <w:bottom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Comprehensive Income Recognised in 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2020</w:t>
            </w: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6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202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15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1540" w:type="dxa"/>
            <w:vAlign w:val="bottom"/>
          </w:tcPr>
          <w:p>
            <w:pPr>
              <w:jc w:val="right"/>
              <w:ind w:right="16"/>
              <w:spacing w:after="0"/>
              <w:rPr>
                <w:sz w:val="20"/>
                <w:szCs w:val="20"/>
                <w:color w:val="auto"/>
              </w:rPr>
            </w:pPr>
            <w:r>
              <w:rPr>
                <w:rFonts w:ascii="Arial" w:cs="Arial" w:eastAsia="Arial" w:hAnsi="Arial"/>
                <w:sz w:val="13"/>
                <w:szCs w:val="13"/>
                <w:b w:val="1"/>
                <w:bCs w:val="1"/>
                <w:color w:val="auto"/>
              </w:rPr>
              <w:t>11,774</w:t>
            </w:r>
          </w:p>
        </w:tc>
        <w:tc>
          <w:tcPr>
            <w:tcW w:w="1620" w:type="dxa"/>
            <w:vAlign w:val="bottom"/>
          </w:tcPr>
          <w:p>
            <w:pPr>
              <w:jc w:val="right"/>
              <w:ind w:right="216"/>
              <w:spacing w:after="0"/>
              <w:rPr>
                <w:sz w:val="20"/>
                <w:szCs w:val="20"/>
                <w:color w:val="auto"/>
              </w:rPr>
            </w:pPr>
            <w:r>
              <w:rPr>
                <w:rFonts w:ascii="Arial" w:cs="Arial" w:eastAsia="Arial" w:hAnsi="Arial"/>
                <w:sz w:val="13"/>
                <w:szCs w:val="13"/>
                <w:color w:val="auto"/>
              </w:rPr>
              <w:t>638</w:t>
            </w: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12,412</w:t>
            </w: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expenses</w:t>
            </w: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24,830</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(2,570)</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(184)</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22,076</w:t>
            </w:r>
          </w:p>
        </w:tc>
        <w:tc>
          <w:tcPr>
            <w:tcW w:w="0" w:type="dxa"/>
            <w:vAlign w:val="bottom"/>
          </w:tcPr>
          <w:p>
            <w:pPr>
              <w:spacing w:after="0"/>
              <w:rPr>
                <w:sz w:val="1"/>
                <w:szCs w:val="1"/>
                <w:color w:val="auto"/>
              </w:rPr>
            </w:pPr>
          </w:p>
        </w:tc>
      </w:tr>
      <w:tr>
        <w:trPr>
          <w:trHeight w:val="169"/>
        </w:trPr>
        <w:tc>
          <w:tcPr>
            <w:tcW w:w="260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1540" w:type="dxa"/>
            <w:vAlign w:val="bottom"/>
          </w:tcPr>
          <w:p>
            <w:pPr>
              <w:jc w:val="right"/>
              <w:ind w:right="16"/>
              <w:spacing w:after="0"/>
              <w:rPr>
                <w:sz w:val="20"/>
                <w:szCs w:val="20"/>
                <w:color w:val="auto"/>
              </w:rPr>
            </w:pPr>
            <w:r>
              <w:rPr>
                <w:rFonts w:ascii="Arial" w:cs="Arial" w:eastAsia="Arial" w:hAnsi="Arial"/>
                <w:sz w:val="13"/>
                <w:szCs w:val="13"/>
                <w:b w:val="1"/>
                <w:bCs w:val="1"/>
                <w:color w:val="auto"/>
              </w:rPr>
              <w:t>5,195</w:t>
            </w:r>
          </w:p>
        </w:tc>
        <w:tc>
          <w:tcPr>
            <w:tcW w:w="1620" w:type="dxa"/>
            <w:vAlign w:val="bottom"/>
          </w:tcPr>
          <w:p>
            <w:pPr>
              <w:jc w:val="right"/>
              <w:ind w:right="216"/>
              <w:spacing w:after="0"/>
              <w:rPr>
                <w:sz w:val="20"/>
                <w:szCs w:val="20"/>
                <w:color w:val="auto"/>
              </w:rPr>
            </w:pPr>
            <w:r>
              <w:rPr>
                <w:rFonts w:ascii="Arial" w:cs="Arial" w:eastAsia="Arial" w:hAnsi="Arial"/>
                <w:sz w:val="13"/>
                <w:szCs w:val="13"/>
                <w:color w:val="auto"/>
              </w:rPr>
              <w:t>779</w:t>
            </w: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5,974</w:t>
            </w: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compensation</w:t>
            </w: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2,744</w:t>
            </w:r>
          </w:p>
        </w:tc>
        <w:tc>
          <w:tcPr>
            <w:tcW w:w="16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440</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3,184</w:t>
            </w:r>
          </w:p>
        </w:tc>
        <w:tc>
          <w:tcPr>
            <w:tcW w:w="0" w:type="dxa"/>
            <w:vAlign w:val="bottom"/>
          </w:tcPr>
          <w:p>
            <w:pPr>
              <w:spacing w:after="0"/>
              <w:rPr>
                <w:sz w:val="1"/>
                <w:szCs w:val="1"/>
                <w:color w:val="auto"/>
              </w:rPr>
            </w:pPr>
          </w:p>
        </w:tc>
      </w:tr>
      <w:tr>
        <w:trPr>
          <w:trHeight w:val="169"/>
        </w:trPr>
        <w:tc>
          <w:tcPr>
            <w:tcW w:w="2600" w:type="dxa"/>
            <w:vAlign w:val="bottom"/>
          </w:tcPr>
          <w:p>
            <w:pPr>
              <w:ind w:left="60"/>
              <w:spacing w:after="0"/>
              <w:rPr>
                <w:sz w:val="20"/>
                <w:szCs w:val="20"/>
                <w:color w:val="auto"/>
              </w:rPr>
            </w:pPr>
            <w:r>
              <w:rPr>
                <w:rFonts w:ascii="Arial" w:cs="Arial" w:eastAsia="Arial" w:hAnsi="Arial"/>
                <w:sz w:val="13"/>
                <w:szCs w:val="13"/>
                <w:color w:val="auto"/>
              </w:rPr>
              <w:t>Share-based payment</w:t>
            </w:r>
          </w:p>
        </w:tc>
        <w:tc>
          <w:tcPr>
            <w:tcW w:w="1540" w:type="dxa"/>
            <w:vAlign w:val="bottom"/>
          </w:tcPr>
          <w:p>
            <w:pPr>
              <w:jc w:val="right"/>
              <w:ind w:right="16"/>
              <w:spacing w:after="0"/>
              <w:rPr>
                <w:sz w:val="20"/>
                <w:szCs w:val="20"/>
                <w:color w:val="auto"/>
              </w:rPr>
            </w:pPr>
            <w:r>
              <w:rPr>
                <w:rFonts w:ascii="Arial" w:cs="Arial" w:eastAsia="Arial" w:hAnsi="Arial"/>
                <w:sz w:val="13"/>
                <w:szCs w:val="13"/>
                <w:b w:val="1"/>
                <w:bCs w:val="1"/>
                <w:color w:val="auto"/>
              </w:rPr>
              <w:t>23,082</w:t>
            </w:r>
          </w:p>
        </w:tc>
        <w:tc>
          <w:tcPr>
            <w:tcW w:w="1620" w:type="dxa"/>
            <w:vAlign w:val="bottom"/>
          </w:tcPr>
          <w:p>
            <w:pPr>
              <w:jc w:val="right"/>
              <w:ind w:right="176"/>
              <w:spacing w:after="0"/>
              <w:rPr>
                <w:sz w:val="20"/>
                <w:szCs w:val="20"/>
                <w:color w:val="auto"/>
              </w:rPr>
            </w:pPr>
            <w:r>
              <w:rPr>
                <w:rFonts w:ascii="Arial" w:cs="Arial" w:eastAsia="Arial" w:hAnsi="Arial"/>
                <w:sz w:val="13"/>
                <w:szCs w:val="13"/>
                <w:color w:val="auto"/>
              </w:rPr>
              <w:t>(458)</w:t>
            </w: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6"/>
              <w:spacing w:after="0"/>
              <w:rPr>
                <w:sz w:val="20"/>
                <w:szCs w:val="20"/>
                <w:color w:val="auto"/>
              </w:rPr>
            </w:pPr>
            <w:r>
              <w:rPr>
                <w:rFonts w:ascii="Arial" w:cs="Arial" w:eastAsia="Arial" w:hAnsi="Arial"/>
                <w:sz w:val="13"/>
                <w:szCs w:val="13"/>
                <w:color w:val="auto"/>
              </w:rPr>
              <w:t>(1,286)</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21,338</w:t>
            </w: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revenue</w:t>
            </w: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3,933</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(1,676)</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2,257</w:t>
            </w:r>
          </w:p>
        </w:tc>
        <w:tc>
          <w:tcPr>
            <w:tcW w:w="0" w:type="dxa"/>
            <w:vAlign w:val="bottom"/>
          </w:tcPr>
          <w:p>
            <w:pPr>
              <w:spacing w:after="0"/>
              <w:rPr>
                <w:sz w:val="1"/>
                <w:szCs w:val="1"/>
                <w:color w:val="auto"/>
              </w:rPr>
            </w:pPr>
          </w:p>
        </w:tc>
      </w:tr>
      <w:tr>
        <w:trPr>
          <w:trHeight w:val="169"/>
        </w:trPr>
        <w:tc>
          <w:tcPr>
            <w:tcW w:w="26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682</w:t>
            </w: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(324)</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358</w:t>
            </w:r>
          </w:p>
        </w:tc>
        <w:tc>
          <w:tcPr>
            <w:tcW w:w="0" w:type="dxa"/>
            <w:vAlign w:val="bottom"/>
          </w:tcPr>
          <w:p>
            <w:pPr>
              <w:spacing w:after="0"/>
              <w:rPr>
                <w:sz w:val="1"/>
                <w:szCs w:val="1"/>
                <w:color w:val="auto"/>
              </w:rPr>
            </w:pPr>
          </w:p>
        </w:tc>
      </w:tr>
      <w:tr>
        <w:trPr>
          <w:trHeight w:val="150"/>
        </w:trPr>
        <w:tc>
          <w:tcPr>
            <w:tcW w:w="26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72,240</w:t>
            </w: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(3,171)</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20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(184)</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(1,286)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67,599</w:t>
            </w:r>
          </w:p>
        </w:tc>
        <w:tc>
          <w:tcPr>
            <w:tcW w:w="0" w:type="dxa"/>
            <w:vAlign w:val="bottom"/>
          </w:tcPr>
          <w:p>
            <w:pPr>
              <w:spacing w:after="0"/>
              <w:rPr>
                <w:sz w:val="1"/>
                <w:szCs w:val="1"/>
                <w:color w:val="auto"/>
              </w:rPr>
            </w:pPr>
          </w:p>
        </w:tc>
      </w:tr>
      <w:tr>
        <w:trPr>
          <w:trHeight w:val="152"/>
        </w:trPr>
        <w:tc>
          <w:tcPr>
            <w:tcW w:w="26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1,102</w:t>
            </w:r>
          </w:p>
        </w:tc>
        <w:tc>
          <w:tcPr>
            <w:tcW w:w="16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257</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1,359</w:t>
            </w:r>
          </w:p>
        </w:tc>
        <w:tc>
          <w:tcPr>
            <w:tcW w:w="0" w:type="dxa"/>
            <w:vAlign w:val="bottom"/>
          </w:tcPr>
          <w:p>
            <w:pPr>
              <w:spacing w:after="0"/>
              <w:rPr>
                <w:sz w:val="1"/>
                <w:szCs w:val="1"/>
                <w:color w:val="auto"/>
              </w:rPr>
            </w:pPr>
          </w:p>
        </w:tc>
      </w:tr>
      <w:tr>
        <w:trPr>
          <w:trHeight w:val="169"/>
        </w:trPr>
        <w:tc>
          <w:tcPr>
            <w:tcW w:w="2600" w:type="dxa"/>
            <w:vAlign w:val="bottom"/>
          </w:tcPr>
          <w:p>
            <w:pPr>
              <w:ind w:left="20"/>
              <w:spacing w:after="0"/>
              <w:rPr>
                <w:sz w:val="20"/>
                <w:szCs w:val="20"/>
                <w:color w:val="auto"/>
              </w:rPr>
            </w:pPr>
            <w:r>
              <w:rPr>
                <w:rFonts w:ascii="Arial" w:cs="Arial" w:eastAsia="Arial" w:hAnsi="Arial"/>
                <w:sz w:val="13"/>
                <w:szCs w:val="13"/>
                <w:color w:val="auto"/>
              </w:rPr>
              <w:t>Goodwill on acquisition</w:t>
            </w:r>
          </w:p>
        </w:tc>
        <w:tc>
          <w:tcPr>
            <w:tcW w:w="1540" w:type="dxa"/>
            <w:vAlign w:val="bottom"/>
          </w:tcPr>
          <w:p>
            <w:pPr>
              <w:jc w:val="right"/>
              <w:ind w:right="16"/>
              <w:spacing w:after="0"/>
              <w:rPr>
                <w:sz w:val="20"/>
                <w:szCs w:val="20"/>
                <w:color w:val="auto"/>
              </w:rPr>
            </w:pPr>
            <w:r>
              <w:rPr>
                <w:rFonts w:ascii="Arial" w:cs="Arial" w:eastAsia="Arial" w:hAnsi="Arial"/>
                <w:sz w:val="13"/>
                <w:szCs w:val="13"/>
                <w:b w:val="1"/>
                <w:bCs w:val="1"/>
                <w:color w:val="auto"/>
              </w:rPr>
              <w:t>27,590</w:t>
            </w:r>
          </w:p>
        </w:tc>
        <w:tc>
          <w:tcPr>
            <w:tcW w:w="1620" w:type="dxa"/>
            <w:vAlign w:val="bottom"/>
          </w:tcPr>
          <w:p>
            <w:pPr>
              <w:jc w:val="right"/>
              <w:ind w:right="216"/>
              <w:spacing w:after="0"/>
              <w:rPr>
                <w:sz w:val="20"/>
                <w:szCs w:val="20"/>
                <w:color w:val="auto"/>
              </w:rPr>
            </w:pPr>
            <w:r>
              <w:rPr>
                <w:rFonts w:ascii="Arial" w:cs="Arial" w:eastAsia="Arial" w:hAnsi="Arial"/>
                <w:sz w:val="13"/>
                <w:szCs w:val="13"/>
                <w:color w:val="auto"/>
              </w:rPr>
              <w:t>4,039</w:t>
            </w: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31,629</w:t>
            </w: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6,284</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(5,044)</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(231)*</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1,009</w:t>
            </w:r>
          </w:p>
        </w:tc>
        <w:tc>
          <w:tcPr>
            <w:tcW w:w="0" w:type="dxa"/>
            <w:vAlign w:val="bottom"/>
          </w:tcPr>
          <w:p>
            <w:pPr>
              <w:spacing w:after="0"/>
              <w:rPr>
                <w:sz w:val="1"/>
                <w:szCs w:val="1"/>
                <w:color w:val="auto"/>
              </w:rPr>
            </w:pPr>
          </w:p>
        </w:tc>
      </w:tr>
      <w:tr>
        <w:trPr>
          <w:trHeight w:val="169"/>
        </w:trPr>
        <w:tc>
          <w:tcPr>
            <w:tcW w:w="26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 intangible assets</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11,805</w:t>
            </w: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(2,617)</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4,210</w:t>
            </w:r>
          </w:p>
        </w:tc>
        <w:tc>
          <w:tcPr>
            <w:tcW w:w="20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13,398</w:t>
            </w:r>
          </w:p>
        </w:tc>
        <w:tc>
          <w:tcPr>
            <w:tcW w:w="0" w:type="dxa"/>
            <w:vAlign w:val="bottom"/>
          </w:tcPr>
          <w:p>
            <w:pPr>
              <w:spacing w:after="0"/>
              <w:rPr>
                <w:sz w:val="1"/>
                <w:szCs w:val="1"/>
                <w:color w:val="auto"/>
              </w:rPr>
            </w:pPr>
          </w:p>
        </w:tc>
      </w:tr>
      <w:tr>
        <w:trPr>
          <w:trHeight w:val="150"/>
        </w:trPr>
        <w:tc>
          <w:tcPr>
            <w:tcW w:w="26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46,781</w:t>
            </w: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(3,365)</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4,210</w:t>
            </w:r>
          </w:p>
        </w:tc>
        <w:tc>
          <w:tcPr>
            <w:tcW w:w="20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(231)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47,395</w:t>
            </w:r>
          </w:p>
        </w:tc>
        <w:tc>
          <w:tcPr>
            <w:tcW w:w="0" w:type="dxa"/>
            <w:vAlign w:val="bottom"/>
          </w:tcPr>
          <w:p>
            <w:pPr>
              <w:spacing w:after="0"/>
              <w:rPr>
                <w:sz w:val="1"/>
                <w:szCs w:val="1"/>
                <w:color w:val="auto"/>
              </w:rPr>
            </w:pPr>
          </w:p>
        </w:tc>
      </w:tr>
      <w:tr>
        <w:trPr>
          <w:trHeight w:val="184"/>
        </w:trPr>
        <w:tc>
          <w:tcPr>
            <w:tcW w:w="2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deferred taxation asset/(liability)</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25,459</w:t>
            </w:r>
          </w:p>
        </w:tc>
        <w:tc>
          <w:tcPr>
            <w:tcW w:w="16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194</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(4,210)</w:t>
            </w:r>
          </w:p>
        </w:tc>
        <w:tc>
          <w:tcPr>
            <w:tcW w:w="20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(184)</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(1,055)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20,204</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*These adjustments relate to foreign currency translation on the deferred tax liabilities.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696" w:right="3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ind w:left="260" w:hanging="255"/>
        <w:spacing w:after="0"/>
        <w:tabs>
          <w:tab w:leader="none" w:pos="26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2019 was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Balance 1 January</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Recognised in</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Recognised on</w:t>
            </w:r>
          </w:p>
        </w:tc>
        <w:tc>
          <w:tcPr>
            <w:tcW w:w="20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Recognised in Other</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w:t>
            </w:r>
          </w:p>
        </w:tc>
      </w:tr>
      <w:tr>
        <w:trPr>
          <w:trHeight w:val="169"/>
        </w:trPr>
        <w:tc>
          <w:tcPr>
            <w:tcW w:w="268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2019</w:t>
            </w:r>
          </w:p>
        </w:tc>
        <w:tc>
          <w:tcPr>
            <w:tcW w:w="1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Income</w:t>
            </w: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Acquisition</w:t>
            </w:r>
          </w:p>
        </w:tc>
        <w:tc>
          <w:tcPr>
            <w:tcW w:w="3080" w:type="dxa"/>
            <w:vAlign w:val="bottom"/>
            <w:tcBorders>
              <w:bottom w:val="single" w:sz="8" w:color="auto"/>
            </w:tcBorders>
            <w:gridSpan w:val="3"/>
            <w:shd w:val="clear" w:color="auto" w:fill="CCEEFF"/>
          </w:tcPr>
          <w:p>
            <w:pPr>
              <w:jc w:val="right"/>
              <w:ind w:right="123"/>
              <w:spacing w:after="0"/>
              <w:rPr>
                <w:sz w:val="20"/>
                <w:szCs w:val="20"/>
                <w:color w:val="auto"/>
              </w:rPr>
            </w:pPr>
            <w:r>
              <w:rPr>
                <w:rFonts w:ascii="Arial" w:cs="Arial" w:eastAsia="Arial" w:hAnsi="Arial"/>
                <w:sz w:val="13"/>
                <w:szCs w:val="13"/>
                <w:b w:val="1"/>
                <w:bCs w:val="1"/>
                <w:color w:val="auto"/>
              </w:rPr>
              <w:t>Comprehensive Income Recognised in Equity</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2019</w:t>
            </w:r>
          </w:p>
        </w:tc>
      </w:tr>
      <w:tr>
        <w:trPr>
          <w:trHeight w:val="160"/>
        </w:trPr>
        <w:tc>
          <w:tcPr>
            <w:tcW w:w="2680" w:type="dxa"/>
            <w:vAlign w:val="bottom"/>
          </w:tcPr>
          <w:p>
            <w:pPr>
              <w:spacing w:after="0"/>
              <w:rPr>
                <w:sz w:val="13"/>
                <w:szCs w:val="13"/>
                <w:color w:val="auto"/>
              </w:rPr>
            </w:pPr>
          </w:p>
        </w:tc>
        <w:tc>
          <w:tcPr>
            <w:tcW w:w="18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208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123"/>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268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1820" w:type="dxa"/>
            <w:vAlign w:val="bottom"/>
          </w:tcPr>
          <w:p>
            <w:pPr>
              <w:jc w:val="right"/>
              <w:ind w:right="216"/>
              <w:spacing w:after="0"/>
              <w:rPr>
                <w:sz w:val="20"/>
                <w:szCs w:val="20"/>
                <w:color w:val="auto"/>
              </w:rPr>
            </w:pPr>
            <w:r>
              <w:rPr>
                <w:rFonts w:ascii="Arial" w:cs="Arial" w:eastAsia="Arial" w:hAnsi="Arial"/>
                <w:sz w:val="13"/>
                <w:szCs w:val="13"/>
                <w:b w:val="1"/>
                <w:bCs w:val="1"/>
                <w:color w:val="auto"/>
              </w:rPr>
              <w:t>3,615</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3,680</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4,479</w:t>
            </w:r>
          </w:p>
        </w:tc>
        <w:tc>
          <w:tcPr>
            <w:tcW w:w="208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11,774</w:t>
            </w:r>
          </w:p>
        </w:tc>
      </w:tr>
      <w:tr>
        <w:trPr>
          <w:trHeight w:val="170"/>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23,754</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1,139</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120</w:t>
            </w:r>
          </w:p>
        </w:tc>
        <w:tc>
          <w:tcPr>
            <w:tcW w:w="20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(183)</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24,830</w:t>
            </w:r>
          </w:p>
        </w:tc>
      </w:tr>
      <w:tr>
        <w:trPr>
          <w:trHeight w:val="169"/>
        </w:trPr>
        <w:tc>
          <w:tcPr>
            <w:tcW w:w="268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1820" w:type="dxa"/>
            <w:vAlign w:val="bottom"/>
          </w:tcPr>
          <w:p>
            <w:pPr>
              <w:jc w:val="right"/>
              <w:ind w:right="216"/>
              <w:spacing w:after="0"/>
              <w:rPr>
                <w:sz w:val="20"/>
                <w:szCs w:val="20"/>
                <w:color w:val="auto"/>
              </w:rPr>
            </w:pPr>
            <w:r>
              <w:rPr>
                <w:rFonts w:ascii="Arial" w:cs="Arial" w:eastAsia="Arial" w:hAnsi="Arial"/>
                <w:sz w:val="13"/>
                <w:szCs w:val="13"/>
                <w:b w:val="1"/>
                <w:bCs w:val="1"/>
                <w:color w:val="auto"/>
              </w:rPr>
              <w:t>4,855</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220</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120</w:t>
            </w:r>
          </w:p>
        </w:tc>
        <w:tc>
          <w:tcPr>
            <w:tcW w:w="208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5,195</w:t>
            </w:r>
          </w:p>
        </w:tc>
      </w:tr>
      <w:tr>
        <w:trPr>
          <w:trHeight w:val="170"/>
        </w:trPr>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compensation</w:t>
            </w: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2,197</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547</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2,744</w:t>
            </w:r>
          </w:p>
        </w:tc>
      </w:tr>
      <w:tr>
        <w:trPr>
          <w:trHeight w:val="169"/>
        </w:trPr>
        <w:tc>
          <w:tcPr>
            <w:tcW w:w="2680" w:type="dxa"/>
            <w:vAlign w:val="bottom"/>
          </w:tcPr>
          <w:p>
            <w:pPr>
              <w:ind w:left="60"/>
              <w:spacing w:after="0"/>
              <w:rPr>
                <w:sz w:val="20"/>
                <w:szCs w:val="20"/>
                <w:color w:val="auto"/>
              </w:rPr>
            </w:pPr>
            <w:r>
              <w:rPr>
                <w:rFonts w:ascii="Arial" w:cs="Arial" w:eastAsia="Arial" w:hAnsi="Arial"/>
                <w:sz w:val="13"/>
                <w:szCs w:val="13"/>
                <w:color w:val="auto"/>
              </w:rPr>
              <w:t>Share-based payment</w:t>
            </w:r>
          </w:p>
        </w:tc>
        <w:tc>
          <w:tcPr>
            <w:tcW w:w="1820" w:type="dxa"/>
            <w:vAlign w:val="bottom"/>
          </w:tcPr>
          <w:p>
            <w:pPr>
              <w:jc w:val="right"/>
              <w:ind w:right="216"/>
              <w:spacing w:after="0"/>
              <w:rPr>
                <w:sz w:val="20"/>
                <w:szCs w:val="20"/>
                <w:color w:val="auto"/>
              </w:rPr>
            </w:pPr>
            <w:r>
              <w:rPr>
                <w:rFonts w:ascii="Arial" w:cs="Arial" w:eastAsia="Arial" w:hAnsi="Arial"/>
                <w:sz w:val="13"/>
                <w:szCs w:val="13"/>
                <w:b w:val="1"/>
                <w:bCs w:val="1"/>
                <w:color w:val="auto"/>
              </w:rPr>
              <w:t>24,578</w:t>
            </w:r>
          </w:p>
        </w:tc>
        <w:tc>
          <w:tcPr>
            <w:tcW w:w="1320" w:type="dxa"/>
            <w:vAlign w:val="bottom"/>
          </w:tcPr>
          <w:p>
            <w:pPr>
              <w:jc w:val="right"/>
              <w:ind w:right="156"/>
              <w:spacing w:after="0"/>
              <w:rPr>
                <w:sz w:val="20"/>
                <w:szCs w:val="20"/>
                <w:color w:val="auto"/>
              </w:rPr>
            </w:pPr>
            <w:r>
              <w:rPr>
                <w:rFonts w:ascii="Arial" w:cs="Arial" w:eastAsia="Arial" w:hAnsi="Arial"/>
                <w:sz w:val="13"/>
                <w:szCs w:val="13"/>
                <w:color w:val="auto"/>
              </w:rPr>
              <w:t>(817)</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8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(679)</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23,082</w:t>
            </w:r>
          </w:p>
        </w:tc>
      </w:tr>
      <w:tr>
        <w:trPr>
          <w:trHeight w:val="170"/>
        </w:trPr>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revenue</w:t>
            </w: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5,681</w:t>
            </w: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(2,060)</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312</w:t>
            </w:r>
          </w:p>
        </w:tc>
        <w:tc>
          <w:tcPr>
            <w:tcW w:w="20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3,933</w:t>
            </w:r>
          </w:p>
        </w:tc>
      </w:tr>
      <w:tr>
        <w:trPr>
          <w:trHeight w:val="169"/>
        </w:trPr>
        <w:tc>
          <w:tcPr>
            <w:tcW w:w="26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w:t>
            </w:r>
          </w:p>
        </w:tc>
        <w:tc>
          <w:tcPr>
            <w:tcW w:w="1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625</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55</w:t>
            </w:r>
          </w:p>
        </w:tc>
        <w:tc>
          <w:tcPr>
            <w:tcW w:w="2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682</w:t>
            </w:r>
          </w:p>
        </w:tc>
      </w:tr>
      <w:tr>
        <w:trPr>
          <w:trHeight w:val="182"/>
        </w:trPr>
        <w:tc>
          <w:tcPr>
            <w:tcW w:w="26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1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64,682</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3,334</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5,086</w:t>
            </w:r>
          </w:p>
        </w:tc>
        <w:tc>
          <w:tcPr>
            <w:tcW w:w="20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(183)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(679)</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72,240</w:t>
            </w:r>
          </w:p>
        </w:tc>
      </w:tr>
      <w:tr>
        <w:trPr>
          <w:trHeight w:val="184"/>
        </w:trPr>
        <w:tc>
          <w:tcPr>
            <w:tcW w:w="26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9"/>
        </w:trPr>
        <w:tc>
          <w:tcPr>
            <w:tcW w:w="268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981</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27</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94</w:t>
            </w:r>
          </w:p>
        </w:tc>
        <w:tc>
          <w:tcPr>
            <w:tcW w:w="20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1,102</w:t>
            </w:r>
          </w:p>
        </w:tc>
      </w:tr>
      <w:tr>
        <w:trPr>
          <w:trHeight w:val="169"/>
        </w:trPr>
        <w:tc>
          <w:tcPr>
            <w:tcW w:w="2680" w:type="dxa"/>
            <w:vAlign w:val="bottom"/>
          </w:tcPr>
          <w:p>
            <w:pPr>
              <w:ind w:left="20"/>
              <w:spacing w:after="0"/>
              <w:rPr>
                <w:sz w:val="20"/>
                <w:szCs w:val="20"/>
                <w:color w:val="auto"/>
              </w:rPr>
            </w:pPr>
            <w:r>
              <w:rPr>
                <w:rFonts w:ascii="Arial" w:cs="Arial" w:eastAsia="Arial" w:hAnsi="Arial"/>
                <w:sz w:val="13"/>
                <w:szCs w:val="13"/>
                <w:color w:val="auto"/>
              </w:rPr>
              <w:t>Goodwill on acquisition</w:t>
            </w:r>
          </w:p>
        </w:tc>
        <w:tc>
          <w:tcPr>
            <w:tcW w:w="1820" w:type="dxa"/>
            <w:vAlign w:val="bottom"/>
          </w:tcPr>
          <w:p>
            <w:pPr>
              <w:jc w:val="right"/>
              <w:ind w:right="216"/>
              <w:spacing w:after="0"/>
              <w:rPr>
                <w:sz w:val="20"/>
                <w:szCs w:val="20"/>
                <w:color w:val="auto"/>
              </w:rPr>
            </w:pPr>
            <w:r>
              <w:rPr>
                <w:rFonts w:ascii="Arial" w:cs="Arial" w:eastAsia="Arial" w:hAnsi="Arial"/>
                <w:sz w:val="13"/>
                <w:szCs w:val="13"/>
                <w:b w:val="1"/>
                <w:bCs w:val="1"/>
                <w:color w:val="auto"/>
              </w:rPr>
              <w:t>25,149</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2,441</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8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27,590</w:t>
            </w:r>
          </w:p>
        </w:tc>
      </w:tr>
      <w:tr>
        <w:trPr>
          <w:trHeight w:val="170"/>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5,703</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540</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200" w:type="dxa"/>
            <w:vAlign w:val="bottom"/>
            <w:shd w:val="clear" w:color="auto" w:fill="CCEEFF"/>
          </w:tcPr>
          <w:p>
            <w:pPr>
              <w:jc w:val="right"/>
              <w:ind w:right="123"/>
              <w:spacing w:after="0"/>
              <w:rPr>
                <w:sz w:val="20"/>
                <w:szCs w:val="20"/>
                <w:color w:val="auto"/>
              </w:rPr>
            </w:pPr>
            <w:r>
              <w:rPr>
                <w:rFonts w:ascii="Arial" w:cs="Arial" w:eastAsia="Arial" w:hAnsi="Arial"/>
                <w:sz w:val="7"/>
                <w:szCs w:val="7"/>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6,284</w:t>
            </w:r>
          </w:p>
        </w:tc>
      </w:tr>
      <w:tr>
        <w:trPr>
          <w:trHeight w:val="16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intangible assets</w:t>
            </w:r>
          </w:p>
        </w:tc>
        <w:tc>
          <w:tcPr>
            <w:tcW w:w="1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9,397</w:t>
            </w: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(2,240)</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4,648</w:t>
            </w:r>
          </w:p>
        </w:tc>
        <w:tc>
          <w:tcPr>
            <w:tcW w:w="2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11,805</w:t>
            </w:r>
          </w:p>
        </w:tc>
      </w:tr>
      <w:tr>
        <w:trPr>
          <w:trHeight w:val="182"/>
        </w:trPr>
        <w:tc>
          <w:tcPr>
            <w:tcW w:w="26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1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41,230</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768</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4,742</w:t>
            </w:r>
          </w:p>
        </w:tc>
        <w:tc>
          <w:tcPr>
            <w:tcW w:w="2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46,781</w:t>
            </w:r>
          </w:p>
        </w:tc>
      </w:tr>
      <w:tr>
        <w:trPr>
          <w:trHeight w:val="184"/>
        </w:trPr>
        <w:tc>
          <w:tcPr>
            <w:tcW w:w="26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1"/>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deferred taxation asset/(liability)</w:t>
            </w:r>
          </w:p>
        </w:tc>
        <w:tc>
          <w:tcPr>
            <w:tcW w:w="1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23,452</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2,566</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344</w:t>
            </w:r>
          </w:p>
        </w:tc>
        <w:tc>
          <w:tcPr>
            <w:tcW w:w="20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(183)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(720)</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25,459</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*These adjustments relate to foreign currency translation on the deferred tax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assets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relating to the following net operating losses have not been recognised to the extent that it is considered unlikely that a benefit will be received in the future.</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At 31 December 2020, non-US subsidiaries had operating loss carry-forwards for income tax purposes that may be carried forward indefinitely, available to offset against future taxable income, if any, of approximately $40.1 million (31 December 2019: $37.9 million). At 31 December 2020, non–US subsidiaries also had additional operating loss carry forwards of $15.1 million which are due to expire between 2021 and 2027 and operating loss carry forwards of $18.3 million which are due to expire between 2028 and 2037.</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total, the Company has unrecognised deferred tax assets of $34.0 million at 31 December 2020 and $28.1 million at 31 December 2019. The Company has not recognised these remaining deferred tax assets because it believes that it is more likely than not that the losses and other deferred tax assets will not be utilised given their history of operating losses.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696"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ind w:left="260" w:hanging="255"/>
        <w:spacing w:after="0"/>
        <w:tabs>
          <w:tab w:leader="none" w:pos="26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liabilities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Company has recognised a deferred tax liability of $0.9 million (2019: $5.4 million) for investments in foreign subsidiaries where the Company does not consider the earnings to be indefinitely reinvested. For the deferred tax liability not recognised in respect of temporary differences related to investments in foreign subsidiaries which are considered to be indefinitely reinvested, it is not practicable to calculate the exact unrecognised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173" w:lineRule="exact"/>
        <w:rPr>
          <w:sz w:val="20"/>
          <w:szCs w:val="20"/>
          <w:color w:val="auto"/>
        </w:rPr>
      </w:pPr>
    </w:p>
    <w:p>
      <w:pPr>
        <w:ind w:left="260" w:hanging="255"/>
        <w:spacing w:after="0"/>
        <w:tabs>
          <w:tab w:leader="none" w:pos="26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computation for basic and diluted net earnings per share for the year ended 31 December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 2020</w:t>
            </w:r>
          </w:p>
        </w:tc>
        <w:tc>
          <w:tcPr>
            <w:tcW w:w="21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31 December 2020</w:t>
            </w:r>
          </w:p>
        </w:tc>
        <w:tc>
          <w:tcPr>
            <w:tcW w:w="16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31 December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204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right"/>
              <w:ind w:right="636"/>
              <w:spacing w:after="0"/>
              <w:rPr>
                <w:sz w:val="20"/>
                <w:szCs w:val="20"/>
                <w:color w:val="auto"/>
              </w:rPr>
            </w:pPr>
            <w:r>
              <w:rPr>
                <w:rFonts w:ascii="Arial" w:cs="Arial" w:eastAsia="Arial" w:hAnsi="Arial"/>
                <w:sz w:val="13"/>
                <w:szCs w:val="13"/>
                <w:b w:val="1"/>
                <w:bCs w:val="1"/>
                <w:color w:val="auto"/>
              </w:rPr>
              <w:t>$’000</w:t>
            </w:r>
          </w:p>
        </w:tc>
        <w:tc>
          <w:tcPr>
            <w:tcW w:w="16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52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28"/>
        </w:trPr>
        <w:tc>
          <w:tcPr>
            <w:tcW w:w="3880" w:type="dxa"/>
            <w:vAlign w:val="bottom"/>
            <w:shd w:val="clear" w:color="auto" w:fill="CCEEFF"/>
          </w:tcPr>
          <w:p>
            <w:pPr>
              <w:spacing w:after="0"/>
              <w:rPr>
                <w:sz w:val="11"/>
                <w:szCs w:val="11"/>
                <w:color w:val="auto"/>
              </w:rPr>
            </w:pPr>
          </w:p>
        </w:tc>
        <w:tc>
          <w:tcPr>
            <w:tcW w:w="2040" w:type="dxa"/>
            <w:vAlign w:val="bottom"/>
            <w:shd w:val="clear" w:color="auto" w:fill="CCEEFF"/>
          </w:tcPr>
          <w:p>
            <w:pPr>
              <w:jc w:val="right"/>
              <w:ind w:right="356"/>
              <w:spacing w:after="0" w:line="128" w:lineRule="exact"/>
              <w:rPr>
                <w:sz w:val="20"/>
                <w:szCs w:val="20"/>
                <w:color w:val="auto"/>
              </w:rPr>
            </w:pPr>
            <w:r>
              <w:rPr>
                <w:rFonts w:ascii="Arial" w:cs="Arial" w:eastAsia="Arial" w:hAnsi="Arial"/>
                <w:sz w:val="13"/>
                <w:szCs w:val="13"/>
                <w:b w:val="1"/>
                <w:bCs w:val="1"/>
                <w:color w:val="auto"/>
              </w:rPr>
              <w:t>Excluding</w:t>
            </w:r>
          </w:p>
        </w:tc>
        <w:tc>
          <w:tcPr>
            <w:tcW w:w="2180" w:type="dxa"/>
            <w:vAlign w:val="bottom"/>
            <w:shd w:val="clear" w:color="auto" w:fill="CCEEFF"/>
          </w:tcPr>
          <w:p>
            <w:pPr>
              <w:jc w:val="right"/>
              <w:ind w:right="636"/>
              <w:spacing w:after="0" w:line="128" w:lineRule="exact"/>
              <w:rPr>
                <w:sz w:val="20"/>
                <w:szCs w:val="20"/>
                <w:color w:val="auto"/>
              </w:rPr>
            </w:pPr>
            <w:r>
              <w:rPr>
                <w:rFonts w:ascii="Arial" w:cs="Arial" w:eastAsia="Arial" w:hAnsi="Arial"/>
                <w:sz w:val="13"/>
                <w:szCs w:val="13"/>
                <w:b w:val="1"/>
                <w:bCs w:val="1"/>
                <w:color w:val="auto"/>
              </w:rPr>
              <w:t>Exceptional items</w:t>
            </w:r>
          </w:p>
        </w:tc>
        <w:tc>
          <w:tcPr>
            <w:tcW w:w="1660" w:type="dxa"/>
            <w:vAlign w:val="bottom"/>
            <w:shd w:val="clear" w:color="auto" w:fill="CCEEFF"/>
          </w:tcPr>
          <w:p>
            <w:pPr>
              <w:jc w:val="right"/>
              <w:ind w:right="376"/>
              <w:spacing w:after="0" w:line="128" w:lineRule="exact"/>
              <w:rPr>
                <w:sz w:val="20"/>
                <w:szCs w:val="20"/>
                <w:color w:val="auto"/>
              </w:rPr>
            </w:pPr>
            <w:r>
              <w:rPr>
                <w:rFonts w:ascii="Arial" w:cs="Arial" w:eastAsia="Arial" w:hAnsi="Arial"/>
                <w:sz w:val="13"/>
                <w:szCs w:val="13"/>
                <w:b w:val="1"/>
                <w:bCs w:val="1"/>
                <w:color w:val="auto"/>
              </w:rPr>
              <w:t>Including</w:t>
            </w:r>
          </w:p>
        </w:tc>
        <w:tc>
          <w:tcPr>
            <w:tcW w:w="1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Exceptional items</w:t>
            </w:r>
          </w:p>
        </w:tc>
        <w:tc>
          <w:tcPr>
            <w:tcW w:w="21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Exceptional items</w:t>
            </w:r>
          </w:p>
        </w:tc>
        <w:tc>
          <w:tcPr>
            <w:tcW w:w="150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80" w:type="dxa"/>
            <w:vAlign w:val="bottom"/>
          </w:tcPr>
          <w:p>
            <w:pPr>
              <w:ind w:left="20"/>
              <w:spacing w:after="0"/>
              <w:rPr>
                <w:sz w:val="20"/>
                <w:szCs w:val="20"/>
                <w:color w:val="auto"/>
              </w:rPr>
            </w:pPr>
            <w:r>
              <w:rPr>
                <w:rFonts w:ascii="Arial" w:cs="Arial" w:eastAsia="Arial" w:hAnsi="Arial"/>
                <w:sz w:val="13"/>
                <w:szCs w:val="13"/>
                <w:b w:val="1"/>
                <w:bCs w:val="1"/>
                <w:color w:val="auto"/>
              </w:rPr>
              <w:t>Numerator computations</w:t>
            </w:r>
          </w:p>
        </w:tc>
        <w:tc>
          <w:tcPr>
            <w:tcW w:w="20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Basic and diluted earnings per share</w:t>
            </w:r>
          </w:p>
        </w:tc>
        <w:tc>
          <w:tcPr>
            <w:tcW w:w="20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Profit for the period</w:t>
            </w:r>
          </w:p>
        </w:tc>
        <w:tc>
          <w:tcPr>
            <w:tcW w:w="20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347,253</w:t>
            </w:r>
          </w:p>
        </w:tc>
        <w:tc>
          <w:tcPr>
            <w:tcW w:w="21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(15,828)</w:t>
            </w:r>
          </w:p>
        </w:tc>
        <w:tc>
          <w:tcPr>
            <w:tcW w:w="16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331,425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361,033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Profit attributable to equity holders</w:t>
            </w:r>
          </w:p>
        </w:tc>
        <w:tc>
          <w:tcPr>
            <w:tcW w:w="20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347,253</w:t>
            </w:r>
          </w:p>
        </w:tc>
        <w:tc>
          <w:tcPr>
            <w:tcW w:w="21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(15,828)</w:t>
            </w: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331,425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361,033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8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Denominator computations</w:t>
            </w:r>
          </w:p>
        </w:tc>
        <w:tc>
          <w:tcPr>
            <w:tcW w:w="204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Number of Shares</w:t>
            </w:r>
          </w:p>
        </w:tc>
        <w:tc>
          <w:tcPr>
            <w:tcW w:w="16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880" w:type="dxa"/>
            <w:vAlign w:val="bottom"/>
          </w:tcPr>
          <w:p>
            <w:pPr>
              <w:ind w:left="20"/>
              <w:spacing w:after="0" w:line="131" w:lineRule="exact"/>
              <w:rPr>
                <w:sz w:val="20"/>
                <w:szCs w:val="20"/>
                <w:color w:val="auto"/>
              </w:rPr>
            </w:pPr>
            <w:r>
              <w:rPr>
                <w:rFonts w:ascii="Arial" w:cs="Arial" w:eastAsia="Arial" w:hAnsi="Arial"/>
                <w:sz w:val="13"/>
                <w:szCs w:val="13"/>
                <w:color w:val="auto"/>
              </w:rPr>
              <w:t>Weighted average number of ordinary shares outstanding –</w:t>
            </w:r>
          </w:p>
        </w:tc>
        <w:tc>
          <w:tcPr>
            <w:tcW w:w="2040" w:type="dxa"/>
            <w:vAlign w:val="bottom"/>
            <w:vMerge w:val="restart"/>
          </w:tcPr>
          <w:p>
            <w:pPr>
              <w:jc w:val="right"/>
              <w:ind w:right="356"/>
              <w:spacing w:after="0"/>
              <w:rPr>
                <w:sz w:val="20"/>
                <w:szCs w:val="20"/>
                <w:color w:val="auto"/>
              </w:rPr>
            </w:pPr>
            <w:r>
              <w:rPr>
                <w:rFonts w:ascii="Arial" w:cs="Arial" w:eastAsia="Arial" w:hAnsi="Arial"/>
                <w:sz w:val="13"/>
                <w:szCs w:val="13"/>
                <w:b w:val="1"/>
                <w:bCs w:val="1"/>
                <w:color w:val="auto"/>
              </w:rPr>
              <w:t>52,859,911</w:t>
            </w:r>
          </w:p>
        </w:tc>
        <w:tc>
          <w:tcPr>
            <w:tcW w:w="2180" w:type="dxa"/>
            <w:vAlign w:val="bottom"/>
            <w:vMerge w:val="restart"/>
          </w:tcPr>
          <w:p>
            <w:pPr>
              <w:jc w:val="right"/>
              <w:ind w:right="636"/>
              <w:spacing w:after="0"/>
              <w:rPr>
                <w:sz w:val="20"/>
                <w:szCs w:val="20"/>
                <w:color w:val="auto"/>
              </w:rPr>
            </w:pPr>
            <w:r>
              <w:rPr>
                <w:rFonts w:ascii="Arial" w:cs="Arial" w:eastAsia="Arial" w:hAnsi="Arial"/>
                <w:sz w:val="13"/>
                <w:szCs w:val="13"/>
                <w:b w:val="1"/>
                <w:bCs w:val="1"/>
                <w:color w:val="auto"/>
              </w:rPr>
              <w:t>52,859,911</w:t>
            </w:r>
          </w:p>
        </w:tc>
        <w:tc>
          <w:tcPr>
            <w:tcW w:w="166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52,859,911</w:t>
            </w: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880" w:type="dxa"/>
            <w:vAlign w:val="bottom"/>
          </w:tcPr>
          <w:p>
            <w:pPr>
              <w:ind w:left="20"/>
              <w:spacing w:after="0"/>
              <w:rPr>
                <w:sz w:val="20"/>
                <w:szCs w:val="20"/>
                <w:color w:val="auto"/>
              </w:rPr>
            </w:pPr>
            <w:r>
              <w:rPr>
                <w:rFonts w:ascii="Arial" w:cs="Arial" w:eastAsia="Arial" w:hAnsi="Arial"/>
                <w:sz w:val="13"/>
                <w:szCs w:val="13"/>
                <w:color w:val="auto"/>
              </w:rPr>
              <w:t>basic</w:t>
            </w:r>
          </w:p>
        </w:tc>
        <w:tc>
          <w:tcPr>
            <w:tcW w:w="204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53,859,537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Effect of dilutive potential ordinary shares</w:t>
            </w:r>
          </w:p>
        </w:tc>
        <w:tc>
          <w:tcPr>
            <w:tcW w:w="20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404,837</w:t>
            </w:r>
          </w:p>
        </w:tc>
        <w:tc>
          <w:tcPr>
            <w:tcW w:w="21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404,837</w:t>
            </w:r>
          </w:p>
        </w:tc>
        <w:tc>
          <w:tcPr>
            <w:tcW w:w="16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404,837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499,015</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880" w:type="dxa"/>
            <w:vAlign w:val="bottom"/>
          </w:tcPr>
          <w:p>
            <w:pPr>
              <w:ind w:left="20"/>
              <w:spacing w:after="0" w:line="131" w:lineRule="exact"/>
              <w:rPr>
                <w:sz w:val="20"/>
                <w:szCs w:val="20"/>
                <w:color w:val="auto"/>
              </w:rPr>
            </w:pPr>
            <w:r>
              <w:rPr>
                <w:rFonts w:ascii="Arial" w:cs="Arial" w:eastAsia="Arial" w:hAnsi="Arial"/>
                <w:sz w:val="13"/>
                <w:szCs w:val="13"/>
                <w:color w:val="auto"/>
              </w:rPr>
              <w:t>Weighted average number of ordinary shares outstanding -</w:t>
            </w:r>
          </w:p>
        </w:tc>
        <w:tc>
          <w:tcPr>
            <w:tcW w:w="2040" w:type="dxa"/>
            <w:vAlign w:val="bottom"/>
            <w:vMerge w:val="restart"/>
          </w:tcPr>
          <w:p>
            <w:pPr>
              <w:jc w:val="right"/>
              <w:ind w:right="356"/>
              <w:spacing w:after="0"/>
              <w:rPr>
                <w:sz w:val="20"/>
                <w:szCs w:val="20"/>
                <w:color w:val="auto"/>
              </w:rPr>
            </w:pPr>
            <w:r>
              <w:rPr>
                <w:rFonts w:ascii="Arial" w:cs="Arial" w:eastAsia="Arial" w:hAnsi="Arial"/>
                <w:sz w:val="13"/>
                <w:szCs w:val="13"/>
                <w:b w:val="1"/>
                <w:bCs w:val="1"/>
                <w:color w:val="auto"/>
              </w:rPr>
              <w:t>53,264,748</w:t>
            </w:r>
          </w:p>
        </w:tc>
        <w:tc>
          <w:tcPr>
            <w:tcW w:w="2180" w:type="dxa"/>
            <w:vAlign w:val="bottom"/>
            <w:vMerge w:val="restart"/>
          </w:tcPr>
          <w:p>
            <w:pPr>
              <w:jc w:val="right"/>
              <w:ind w:right="636"/>
              <w:spacing w:after="0"/>
              <w:rPr>
                <w:sz w:val="20"/>
                <w:szCs w:val="20"/>
                <w:color w:val="auto"/>
              </w:rPr>
            </w:pPr>
            <w:r>
              <w:rPr>
                <w:rFonts w:ascii="Arial" w:cs="Arial" w:eastAsia="Arial" w:hAnsi="Arial"/>
                <w:sz w:val="13"/>
                <w:szCs w:val="13"/>
                <w:b w:val="1"/>
                <w:bCs w:val="1"/>
                <w:color w:val="auto"/>
              </w:rPr>
              <w:t>53,264,748</w:t>
            </w:r>
          </w:p>
        </w:tc>
        <w:tc>
          <w:tcPr>
            <w:tcW w:w="166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53,264,748</w:t>
            </w: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2040" w:type="dxa"/>
            <w:vAlign w:val="bottom"/>
            <w:tcBorders>
              <w:bottom w:val="single" w:sz="8" w:color="auto"/>
            </w:tcBorders>
            <w:vMerge w:val="continue"/>
          </w:tcPr>
          <w:p>
            <w:pPr>
              <w:spacing w:after="0"/>
              <w:rPr>
                <w:sz w:val="13"/>
                <w:szCs w:val="13"/>
                <w:color w:val="auto"/>
              </w:rPr>
            </w:pPr>
          </w:p>
        </w:tc>
        <w:tc>
          <w:tcPr>
            <w:tcW w:w="2180" w:type="dxa"/>
            <w:vAlign w:val="bottom"/>
            <w:tcBorders>
              <w:bottom w:val="single" w:sz="8" w:color="auto"/>
            </w:tcBorders>
            <w:vMerge w:val="continue"/>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54,358,552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8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5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w:t>
            </w:r>
          </w:p>
        </w:tc>
        <w:tc>
          <w:tcPr>
            <w:tcW w:w="2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w:t>
            </w:r>
          </w:p>
        </w:tc>
        <w:tc>
          <w:tcPr>
            <w:tcW w:w="21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880" w:type="dxa"/>
            <w:vAlign w:val="bottom"/>
          </w:tcPr>
          <w:p>
            <w:pPr>
              <w:ind w:left="20"/>
              <w:spacing w:after="0"/>
              <w:rPr>
                <w:sz w:val="20"/>
                <w:szCs w:val="20"/>
                <w:color w:val="auto"/>
              </w:rPr>
            </w:pPr>
            <w:r>
              <w:rPr>
                <w:rFonts w:ascii="Arial" w:cs="Arial" w:eastAsia="Arial" w:hAnsi="Arial"/>
                <w:sz w:val="13"/>
                <w:szCs w:val="13"/>
                <w:color w:val="auto"/>
              </w:rPr>
              <w:t>Basic earnings per ordinary share</w:t>
            </w:r>
          </w:p>
        </w:tc>
        <w:tc>
          <w:tcPr>
            <w:tcW w:w="2040" w:type="dxa"/>
            <w:vAlign w:val="bottom"/>
          </w:tcPr>
          <w:p>
            <w:pPr>
              <w:jc w:val="right"/>
              <w:ind w:right="356"/>
              <w:spacing w:after="0"/>
              <w:rPr>
                <w:sz w:val="20"/>
                <w:szCs w:val="20"/>
                <w:color w:val="auto"/>
              </w:rPr>
            </w:pPr>
            <w:r>
              <w:rPr>
                <w:rFonts w:ascii="Arial" w:cs="Arial" w:eastAsia="Arial" w:hAnsi="Arial"/>
                <w:sz w:val="13"/>
                <w:szCs w:val="13"/>
                <w:b w:val="1"/>
                <w:bCs w:val="1"/>
                <w:color w:val="auto"/>
              </w:rPr>
              <w:t>6.57</w:t>
            </w:r>
          </w:p>
        </w:tc>
        <w:tc>
          <w:tcPr>
            <w:tcW w:w="2180" w:type="dxa"/>
            <w:vAlign w:val="bottom"/>
          </w:tcPr>
          <w:p>
            <w:pPr>
              <w:jc w:val="right"/>
              <w:ind w:right="596"/>
              <w:spacing w:after="0"/>
              <w:rPr>
                <w:sz w:val="20"/>
                <w:szCs w:val="20"/>
                <w:color w:val="auto"/>
              </w:rPr>
            </w:pPr>
            <w:r>
              <w:rPr>
                <w:rFonts w:ascii="Arial" w:cs="Arial" w:eastAsia="Arial" w:hAnsi="Arial"/>
                <w:sz w:val="13"/>
                <w:szCs w:val="13"/>
                <w:b w:val="1"/>
                <w:bCs w:val="1"/>
                <w:color w:val="auto"/>
              </w:rPr>
              <w:t>(0.30)</w:t>
            </w:r>
          </w:p>
        </w:tc>
        <w:tc>
          <w:tcPr>
            <w:tcW w:w="1660" w:type="dxa"/>
            <w:vAlign w:val="bottom"/>
          </w:tcPr>
          <w:p>
            <w:pPr>
              <w:jc w:val="right"/>
              <w:ind w:right="376"/>
              <w:spacing w:after="0"/>
              <w:rPr>
                <w:sz w:val="20"/>
                <w:szCs w:val="20"/>
                <w:color w:val="auto"/>
              </w:rPr>
            </w:pPr>
            <w:r>
              <w:rPr>
                <w:rFonts w:ascii="Arial" w:cs="Arial" w:eastAsia="Arial" w:hAnsi="Arial"/>
                <w:sz w:val="13"/>
                <w:szCs w:val="13"/>
                <w:b w:val="1"/>
                <w:bCs w:val="1"/>
                <w:color w:val="auto"/>
              </w:rPr>
              <w:t>6.27</w:t>
            </w:r>
          </w:p>
        </w:tc>
        <w:tc>
          <w:tcPr>
            <w:tcW w:w="1500" w:type="dxa"/>
            <w:vAlign w:val="bottom"/>
          </w:tcPr>
          <w:p>
            <w:pPr>
              <w:jc w:val="right"/>
              <w:spacing w:after="0"/>
              <w:rPr>
                <w:sz w:val="20"/>
                <w:szCs w:val="20"/>
                <w:color w:val="auto"/>
              </w:rPr>
            </w:pPr>
            <w:r>
              <w:rPr>
                <w:rFonts w:ascii="Arial" w:cs="Arial" w:eastAsia="Arial" w:hAnsi="Arial"/>
                <w:sz w:val="13"/>
                <w:szCs w:val="13"/>
                <w:color w:val="auto"/>
              </w:rPr>
              <w:t>6.70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ordinary share</w:t>
            </w:r>
          </w:p>
        </w:tc>
        <w:tc>
          <w:tcPr>
            <w:tcW w:w="20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6.53</w:t>
            </w:r>
          </w:p>
        </w:tc>
        <w:tc>
          <w:tcPr>
            <w:tcW w:w="21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(0.30)</w:t>
            </w:r>
          </w:p>
        </w:tc>
        <w:tc>
          <w:tcPr>
            <w:tcW w:w="16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6.22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144,275 anti-dilutive shares in issue at 31 December 2020 comprised of 105,658 options and 28,043 PSUs and 10,574 RSUs (31 December 2019: 123,997).</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696"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2"/>
          <w:szCs w:val="12"/>
          <w:b w:val="1"/>
          <w:bCs w:val="1"/>
          <w:color w:val="auto"/>
        </w:rPr>
        <w:t>Exceptional items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Exceptional items are comprised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shd w:val="clear" w:color="auto" w:fill="CCEEFF"/>
          </w:tcPr>
          <w:p>
            <w:pPr>
              <w:spacing w:after="0"/>
              <w:rPr>
                <w:sz w:val="13"/>
                <w:szCs w:val="13"/>
                <w:color w:val="auto"/>
              </w:rPr>
            </w:pP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5120" w:type="dxa"/>
            <w:vAlign w:val="bottom"/>
            <w:tcBorders>
              <w:bottom w:val="single" w:sz="8" w:color="auto"/>
            </w:tcBorders>
            <w:shd w:val="clear" w:color="auto" w:fill="CCEEFF"/>
          </w:tcPr>
          <w:p>
            <w:pPr>
              <w:spacing w:after="0"/>
              <w:rPr>
                <w:sz w:val="14"/>
                <w:szCs w:val="14"/>
                <w:color w:val="auto"/>
              </w:rPr>
            </w:pPr>
          </w:p>
        </w:tc>
        <w:tc>
          <w:tcPr>
            <w:tcW w:w="524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December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120" w:type="dxa"/>
            <w:vAlign w:val="bottom"/>
          </w:tcPr>
          <w:p>
            <w:pPr>
              <w:spacing w:after="0"/>
              <w:rPr>
                <w:sz w:val="13"/>
                <w:szCs w:val="13"/>
                <w:color w:val="auto"/>
              </w:rPr>
            </w:pPr>
          </w:p>
        </w:tc>
        <w:tc>
          <w:tcPr>
            <w:tcW w:w="5240" w:type="dxa"/>
            <w:vAlign w:val="bottom"/>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524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18,089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w:t>
            </w:r>
          </w:p>
        </w:tc>
        <w:tc>
          <w:tcPr>
            <w:tcW w:w="52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(2,261)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Exceptional items (net)</w:t>
            </w:r>
          </w:p>
        </w:tc>
        <w:tc>
          <w:tcPr>
            <w:tcW w:w="52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15,828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 restructuring charge of $18.1 million was recognised during the year ended 31 December 2020 under a restructuring plan adopted following a review of operations. The restructuring plan reflected resource rationalisation across the business to improve resource utilisation, resulting in a charge of $11.4 million and office consolidation, resulting in a charge of $6.7 million related to the recognition of an impairment of ROU assets of $5.4 million (see note 27 - Leases) and provision for other related costs of $1.3 million.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shd w:val="clear" w:color="auto" w:fill="CCEEFF"/>
          </w:tcPr>
          <w:p>
            <w:pPr>
              <w:spacing w:after="0"/>
              <w:rPr>
                <w:sz w:val="13"/>
                <w:szCs w:val="13"/>
                <w:color w:val="auto"/>
              </w:rPr>
            </w:pPr>
          </w:p>
        </w:tc>
        <w:tc>
          <w:tcPr>
            <w:tcW w:w="3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Workforce</w:t>
            </w:r>
          </w:p>
        </w:tc>
        <w:tc>
          <w:tcPr>
            <w:tcW w:w="190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w w:val="99"/>
              </w:rPr>
              <w:t>ROU assets impairment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840" w:type="dxa"/>
            <w:vAlign w:val="bottom"/>
            <w:tcBorders>
              <w:bottom w:val="single" w:sz="8" w:color="auto"/>
            </w:tcBorders>
            <w:shd w:val="clear" w:color="auto" w:fill="CCEEFF"/>
          </w:tcPr>
          <w:p>
            <w:pPr>
              <w:spacing w:after="0"/>
              <w:rPr>
                <w:sz w:val="14"/>
                <w:szCs w:val="14"/>
                <w:color w:val="auto"/>
              </w:rPr>
            </w:pP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reductions</w:t>
            </w:r>
          </w:p>
        </w:tc>
        <w:tc>
          <w:tcPr>
            <w:tcW w:w="19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and related costs</w:t>
            </w: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40" w:type="dxa"/>
            <w:vAlign w:val="bottom"/>
          </w:tcPr>
          <w:p>
            <w:pPr>
              <w:spacing w:after="0"/>
              <w:rPr>
                <w:sz w:val="13"/>
                <w:szCs w:val="13"/>
                <w:color w:val="auto"/>
              </w:rPr>
            </w:pPr>
          </w:p>
        </w:tc>
        <w:tc>
          <w:tcPr>
            <w:tcW w:w="34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90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provision recognised</w:t>
            </w:r>
          </w:p>
        </w:tc>
        <w:tc>
          <w:tcPr>
            <w:tcW w:w="34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11,391</w:t>
            </w:r>
          </w:p>
        </w:tc>
        <w:tc>
          <w:tcPr>
            <w:tcW w:w="19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6,698</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18,089</w:t>
            </w:r>
          </w:p>
        </w:tc>
        <w:tc>
          <w:tcPr>
            <w:tcW w:w="0" w:type="dxa"/>
            <w:vAlign w:val="bottom"/>
          </w:tcPr>
          <w:p>
            <w:pPr>
              <w:spacing w:after="0"/>
              <w:rPr>
                <w:sz w:val="1"/>
                <w:szCs w:val="1"/>
                <w:color w:val="auto"/>
              </w:rPr>
            </w:pPr>
          </w:p>
        </w:tc>
      </w:tr>
      <w:tr>
        <w:trPr>
          <w:trHeight w:val="189"/>
        </w:trPr>
        <w:tc>
          <w:tcPr>
            <w:tcW w:w="4840" w:type="dxa"/>
            <w:vAlign w:val="bottom"/>
          </w:tcPr>
          <w:p>
            <w:pPr>
              <w:ind w:left="20"/>
              <w:spacing w:after="0"/>
              <w:rPr>
                <w:sz w:val="20"/>
                <w:szCs w:val="20"/>
                <w:color w:val="auto"/>
              </w:rPr>
            </w:pPr>
            <w:r>
              <w:rPr>
                <w:rFonts w:ascii="Arial" w:cs="Arial" w:eastAsia="Arial" w:hAnsi="Arial"/>
                <w:sz w:val="13"/>
                <w:szCs w:val="13"/>
                <w:color w:val="auto"/>
              </w:rPr>
              <w:t>Utilisation</w:t>
            </w:r>
          </w:p>
        </w:tc>
        <w:tc>
          <w:tcPr>
            <w:tcW w:w="3420" w:type="dxa"/>
            <w:vAlign w:val="bottom"/>
          </w:tcPr>
          <w:p>
            <w:pPr>
              <w:jc w:val="right"/>
              <w:spacing w:after="0"/>
              <w:rPr>
                <w:sz w:val="20"/>
                <w:szCs w:val="20"/>
                <w:color w:val="auto"/>
              </w:rPr>
            </w:pPr>
            <w:r>
              <w:rPr>
                <w:rFonts w:ascii="Arial" w:cs="Arial" w:eastAsia="Arial" w:hAnsi="Arial"/>
                <w:sz w:val="13"/>
                <w:szCs w:val="13"/>
                <w:b w:val="1"/>
                <w:bCs w:val="1"/>
                <w:color w:val="auto"/>
              </w:rPr>
              <w:t>(6,987)</w:t>
            </w:r>
          </w:p>
        </w:tc>
        <w:tc>
          <w:tcPr>
            <w:tcW w:w="1900" w:type="dxa"/>
            <w:vAlign w:val="bottom"/>
          </w:tcPr>
          <w:p>
            <w:pPr>
              <w:jc w:val="right"/>
              <w:ind w:right="376"/>
              <w:spacing w:after="0"/>
              <w:rPr>
                <w:sz w:val="20"/>
                <w:szCs w:val="20"/>
                <w:color w:val="auto"/>
              </w:rPr>
            </w:pPr>
            <w:r>
              <w:rPr>
                <w:rFonts w:ascii="Arial" w:cs="Arial" w:eastAsia="Arial" w:hAnsi="Arial"/>
                <w:sz w:val="13"/>
                <w:szCs w:val="13"/>
                <w:b w:val="1"/>
                <w:bCs w:val="1"/>
                <w:color w:val="auto"/>
              </w:rPr>
              <w:t>(1,309)</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(8,296)</w:t>
            </w:r>
          </w:p>
        </w:tc>
        <w:tc>
          <w:tcPr>
            <w:tcW w:w="0" w:type="dxa"/>
            <w:vAlign w:val="bottom"/>
          </w:tcPr>
          <w:p>
            <w:pPr>
              <w:spacing w:after="0"/>
              <w:rPr>
                <w:sz w:val="1"/>
                <w:szCs w:val="1"/>
                <w:color w:val="auto"/>
              </w:rPr>
            </w:pPr>
          </w:p>
        </w:tc>
      </w:tr>
      <w:tr>
        <w:trPr>
          <w:trHeight w:val="172"/>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3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9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325</w:t>
            </w:r>
          </w:p>
        </w:tc>
        <w:tc>
          <w:tcPr>
            <w:tcW w:w="0" w:type="dxa"/>
            <w:vAlign w:val="bottom"/>
          </w:tcPr>
          <w:p>
            <w:pPr>
              <w:spacing w:after="0"/>
              <w:rPr>
                <w:sz w:val="1"/>
                <w:szCs w:val="1"/>
                <w:color w:val="auto"/>
              </w:rPr>
            </w:pPr>
          </w:p>
        </w:tc>
      </w:tr>
      <w:tr>
        <w:trPr>
          <w:trHeight w:val="16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Provision at 31 December 2020</w:t>
            </w:r>
          </w:p>
        </w:tc>
        <w:tc>
          <w:tcPr>
            <w:tcW w:w="34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4,404</w:t>
            </w:r>
          </w:p>
        </w:tc>
        <w:tc>
          <w:tcPr>
            <w:tcW w:w="19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5,714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10,118</w:t>
            </w:r>
          </w:p>
        </w:tc>
        <w:tc>
          <w:tcPr>
            <w:tcW w:w="0" w:type="dxa"/>
            <w:vAlign w:val="bottom"/>
          </w:tcPr>
          <w:p>
            <w:pPr>
              <w:spacing w:after="0"/>
              <w:rPr>
                <w:sz w:val="1"/>
                <w:szCs w:val="1"/>
                <w:color w:val="auto"/>
              </w:rPr>
            </w:pPr>
          </w:p>
        </w:tc>
      </w:tr>
      <w:tr>
        <w:trPr>
          <w:trHeight w:val="20"/>
        </w:trPr>
        <w:tc>
          <w:tcPr>
            <w:tcW w:w="10160" w:type="dxa"/>
            <w:vAlign w:val="bottom"/>
            <w:tcBorders>
              <w:bottom w:val="single" w:sz="8" w:color="auto"/>
            </w:tcBorders>
            <w:gridSpan w:val="3"/>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0160" w:type="dxa"/>
            <w:vAlign w:val="bottom"/>
            <w:gridSpan w:val="3"/>
          </w:tcPr>
          <w:p>
            <w:pPr>
              <w:spacing w:after="0"/>
              <w:rPr>
                <w:sz w:val="20"/>
                <w:szCs w:val="20"/>
                <w:color w:val="auto"/>
              </w:rPr>
            </w:pPr>
            <w:r>
              <w:rPr>
                <w:rFonts w:ascii="Arial" w:cs="Arial" w:eastAsia="Arial" w:hAnsi="Arial"/>
                <w:sz w:val="13"/>
                <w:szCs w:val="13"/>
                <w:color w:val="auto"/>
                <w:w w:val="99"/>
              </w:rPr>
              <w:t>Future minimum lease payments (including related costs), associated with the 2020 restructuring plan, under the non-cancelable leases as of 31 December 2020 were as follows: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484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Minimum rental</w:t>
            </w:r>
          </w:p>
        </w:tc>
        <w:tc>
          <w:tcPr>
            <w:tcW w:w="0" w:type="dxa"/>
            <w:vAlign w:val="bottom"/>
          </w:tcPr>
          <w:p>
            <w:pPr>
              <w:spacing w:after="0"/>
              <w:rPr>
                <w:sz w:val="1"/>
                <w:szCs w:val="1"/>
                <w:color w:val="auto"/>
              </w:rPr>
            </w:pPr>
          </w:p>
        </w:tc>
      </w:tr>
      <w:tr>
        <w:trPr>
          <w:trHeight w:val="169"/>
        </w:trPr>
        <w:tc>
          <w:tcPr>
            <w:tcW w:w="4840" w:type="dxa"/>
            <w:vAlign w:val="bottom"/>
            <w:tcBorders>
              <w:bottom w:val="single" w:sz="8" w:color="auto"/>
            </w:tcBorders>
            <w:shd w:val="clear" w:color="auto" w:fill="CCEEFF"/>
          </w:tcPr>
          <w:p>
            <w:pPr>
              <w:spacing w:after="0"/>
              <w:rPr>
                <w:sz w:val="14"/>
                <w:szCs w:val="14"/>
                <w:color w:val="auto"/>
              </w:rPr>
            </w:pPr>
          </w:p>
        </w:tc>
        <w:tc>
          <w:tcPr>
            <w:tcW w:w="342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payments</w:t>
            </w:r>
          </w:p>
        </w:tc>
        <w:tc>
          <w:tcPr>
            <w:tcW w:w="0" w:type="dxa"/>
            <w:vAlign w:val="bottom"/>
          </w:tcPr>
          <w:p>
            <w:pPr>
              <w:spacing w:after="0"/>
              <w:rPr>
                <w:sz w:val="1"/>
                <w:szCs w:val="1"/>
                <w:color w:val="auto"/>
              </w:rPr>
            </w:pPr>
          </w:p>
        </w:tc>
      </w:tr>
      <w:tr>
        <w:trPr>
          <w:trHeight w:val="160"/>
        </w:trPr>
        <w:tc>
          <w:tcPr>
            <w:tcW w:w="48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34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2,602</w:t>
            </w:r>
          </w:p>
        </w:tc>
        <w:tc>
          <w:tcPr>
            <w:tcW w:w="0" w:type="dxa"/>
            <w:vAlign w:val="bottom"/>
          </w:tcPr>
          <w:p>
            <w:pPr>
              <w:spacing w:after="0"/>
              <w:rPr>
                <w:sz w:val="1"/>
                <w:szCs w:val="1"/>
                <w:color w:val="auto"/>
              </w:rPr>
            </w:pP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2022</w:t>
            </w:r>
          </w:p>
        </w:tc>
        <w:tc>
          <w:tcPr>
            <w:tcW w:w="3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1,896</w:t>
            </w:r>
          </w:p>
        </w:tc>
        <w:tc>
          <w:tcPr>
            <w:tcW w:w="0" w:type="dxa"/>
            <w:vAlign w:val="bottom"/>
          </w:tcPr>
          <w:p>
            <w:pPr>
              <w:spacing w:after="0"/>
              <w:rPr>
                <w:sz w:val="1"/>
                <w:szCs w:val="1"/>
                <w:color w:val="auto"/>
              </w:rPr>
            </w:pPr>
          </w:p>
        </w:tc>
      </w:tr>
      <w:tr>
        <w:trPr>
          <w:trHeight w:val="170"/>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34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999</w:t>
            </w:r>
          </w:p>
        </w:tc>
        <w:tc>
          <w:tcPr>
            <w:tcW w:w="0" w:type="dxa"/>
            <w:vAlign w:val="bottom"/>
          </w:tcPr>
          <w:p>
            <w:pPr>
              <w:spacing w:after="0"/>
              <w:rPr>
                <w:sz w:val="1"/>
                <w:szCs w:val="1"/>
                <w:color w:val="auto"/>
              </w:rPr>
            </w:pP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2024</w:t>
            </w:r>
          </w:p>
        </w:tc>
        <w:tc>
          <w:tcPr>
            <w:tcW w:w="3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139</w:t>
            </w:r>
          </w:p>
        </w:tc>
        <w:tc>
          <w:tcPr>
            <w:tcW w:w="0" w:type="dxa"/>
            <w:vAlign w:val="bottom"/>
          </w:tcPr>
          <w:p>
            <w:pPr>
              <w:spacing w:after="0"/>
              <w:rPr>
                <w:sz w:val="1"/>
                <w:szCs w:val="1"/>
                <w:color w:val="auto"/>
              </w:rPr>
            </w:pPr>
          </w:p>
        </w:tc>
      </w:tr>
      <w:tr>
        <w:trPr>
          <w:trHeight w:val="170"/>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34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139</w:t>
            </w:r>
          </w:p>
        </w:tc>
        <w:tc>
          <w:tcPr>
            <w:tcW w:w="0" w:type="dxa"/>
            <w:vAlign w:val="bottom"/>
          </w:tcPr>
          <w:p>
            <w:pPr>
              <w:spacing w:after="0"/>
              <w:rPr>
                <w:sz w:val="1"/>
                <w:szCs w:val="1"/>
                <w:color w:val="auto"/>
              </w:rPr>
            </w:pPr>
          </w:p>
        </w:tc>
      </w:tr>
      <w:tr>
        <w:trPr>
          <w:trHeight w:val="16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Thereafter</w:t>
            </w:r>
          </w:p>
        </w:tc>
        <w:tc>
          <w:tcPr>
            <w:tcW w:w="34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402</w:t>
            </w:r>
          </w:p>
        </w:tc>
        <w:tc>
          <w:tcPr>
            <w:tcW w:w="0" w:type="dxa"/>
            <w:vAlign w:val="bottom"/>
          </w:tcPr>
          <w:p>
            <w:pPr>
              <w:spacing w:after="0"/>
              <w:rPr>
                <w:sz w:val="1"/>
                <w:szCs w:val="1"/>
                <w:color w:val="auto"/>
              </w:rPr>
            </w:pPr>
          </w:p>
        </w:tc>
      </w:tr>
      <w:tr>
        <w:trPr>
          <w:trHeight w:val="16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future minimum lease payments</w:t>
            </w:r>
          </w:p>
        </w:tc>
        <w:tc>
          <w:tcPr>
            <w:tcW w:w="34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6,177</w:t>
            </w:r>
          </w:p>
        </w:tc>
        <w:tc>
          <w:tcPr>
            <w:tcW w:w="0" w:type="dxa"/>
            <w:vAlign w:val="bottom"/>
          </w:tcPr>
          <w:p>
            <w:pPr>
              <w:spacing w:after="0"/>
              <w:rPr>
                <w:sz w:val="1"/>
                <w:szCs w:val="1"/>
                <w:color w:val="auto"/>
              </w:rPr>
            </w:pPr>
          </w:p>
        </w:tc>
      </w:tr>
      <w:tr>
        <w:trPr>
          <w:trHeight w:val="16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Lease imputed interest</w:t>
            </w:r>
          </w:p>
        </w:tc>
        <w:tc>
          <w:tcPr>
            <w:tcW w:w="34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(463)</w:t>
            </w:r>
          </w:p>
        </w:tc>
        <w:tc>
          <w:tcPr>
            <w:tcW w:w="0" w:type="dxa"/>
            <w:vAlign w:val="bottom"/>
          </w:tcPr>
          <w:p>
            <w:pPr>
              <w:spacing w:after="0"/>
              <w:rPr>
                <w:sz w:val="1"/>
                <w:szCs w:val="1"/>
                <w:color w:val="auto"/>
              </w:rPr>
            </w:pPr>
          </w:p>
        </w:tc>
      </w:tr>
      <w:tr>
        <w:trPr>
          <w:trHeight w:val="185"/>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42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5,714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auto"/>
            </w:tcBorders>
          </w:tcPr>
          <w:p>
            <w:pPr>
              <w:spacing w:after="0" w:line="20" w:lineRule="exact"/>
              <w:rPr>
                <w:sz w:val="1"/>
                <w:szCs w:val="1"/>
                <w:color w:val="auto"/>
              </w:rPr>
            </w:pPr>
          </w:p>
        </w:tc>
        <w:tc>
          <w:tcPr>
            <w:tcW w:w="34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696"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Exceptional items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Prior Period Restructuring Charges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 restructuring charge of $12.5 million was recognised during the year ended 31 December 2018, under a restructuring plan adopted following a review of operations. The restructuring plan reflected resource rationalisation across the business to improve resource utilisation resulting in a charge of $9.7 million and office consolidation resulting in the recognition of an onerous lease obligation of $2.8 million. No additional charge was recorded during the twelve months ended 31 December 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Workforce</w:t>
            </w:r>
          </w:p>
        </w:tc>
        <w:tc>
          <w:tcPr>
            <w:tcW w:w="16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Onerous</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9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reductions</w:t>
            </w: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Lease</w:t>
            </w: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900" w:type="dxa"/>
            <w:vAlign w:val="bottom"/>
          </w:tcPr>
          <w:p>
            <w:pPr>
              <w:spacing w:after="0"/>
              <w:rPr>
                <w:sz w:val="13"/>
                <w:szCs w:val="13"/>
                <w:color w:val="auto"/>
              </w:rPr>
            </w:pPr>
          </w:p>
        </w:tc>
        <w:tc>
          <w:tcPr>
            <w:tcW w:w="1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66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provision recognised</w:t>
            </w:r>
          </w:p>
        </w:tc>
        <w:tc>
          <w:tcPr>
            <w:tcW w:w="16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9,684</w:t>
            </w:r>
          </w:p>
        </w:tc>
        <w:tc>
          <w:tcPr>
            <w:tcW w:w="166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2,806</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Utilisation</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(5,399)</w:t>
            </w:r>
          </w:p>
        </w:tc>
        <w:tc>
          <w:tcPr>
            <w:tcW w:w="16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(672)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at 31 December 2018</w:t>
            </w:r>
          </w:p>
        </w:tc>
        <w:tc>
          <w:tcPr>
            <w:tcW w:w="16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4,285</w:t>
            </w:r>
          </w:p>
        </w:tc>
        <w:tc>
          <w:tcPr>
            <w:tcW w:w="166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2,134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Utilisation</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(3,554)</w:t>
            </w:r>
          </w:p>
        </w:tc>
        <w:tc>
          <w:tcPr>
            <w:tcW w:w="16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(1,228)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at 31 December 2019</w:t>
            </w:r>
          </w:p>
        </w:tc>
        <w:tc>
          <w:tcPr>
            <w:tcW w:w="16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731</w:t>
            </w:r>
          </w:p>
        </w:tc>
        <w:tc>
          <w:tcPr>
            <w:tcW w:w="166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906</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Utilisation</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(731)</w:t>
            </w:r>
          </w:p>
        </w:tc>
        <w:tc>
          <w:tcPr>
            <w:tcW w:w="16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(276)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Provision at 31 December 2020</w:t>
            </w: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630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9"/>
        </w:trPr>
        <w:tc>
          <w:tcPr>
            <w:tcW w:w="6900" w:type="dxa"/>
            <w:vAlign w:val="bottom"/>
          </w:tcPr>
          <w:p>
            <w:pPr>
              <w:spacing w:after="0"/>
              <w:rPr>
                <w:sz w:val="20"/>
                <w:szCs w:val="20"/>
                <w:color w:val="auto"/>
              </w:rPr>
            </w:pPr>
            <w:r>
              <w:rPr>
                <w:rFonts w:ascii="Arial" w:cs="Arial" w:eastAsia="Arial" w:hAnsi="Arial"/>
                <w:sz w:val="13"/>
                <w:szCs w:val="13"/>
                <w:b w:val="1"/>
                <w:bCs w:val="1"/>
                <w:color w:val="auto"/>
              </w:rPr>
              <w:t>9.  Payroll and related benefits</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900" w:type="dxa"/>
            <w:vAlign w:val="bottom"/>
          </w:tcPr>
          <w:p>
            <w:pPr>
              <w:spacing w:after="0"/>
              <w:rPr>
                <w:sz w:val="20"/>
                <w:szCs w:val="20"/>
                <w:color w:val="auto"/>
              </w:rPr>
            </w:pPr>
            <w:r>
              <w:rPr>
                <w:rFonts w:ascii="Arial" w:cs="Arial" w:eastAsia="Arial" w:hAnsi="Arial"/>
                <w:sz w:val="13"/>
                <w:szCs w:val="13"/>
                <w:i w:val="1"/>
                <w:iCs w:val="1"/>
                <w:color w:val="auto"/>
              </w:rPr>
              <w:t>Payroll costs</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900" w:type="dxa"/>
            <w:vAlign w:val="bottom"/>
          </w:tcPr>
          <w:p>
            <w:pPr>
              <w:spacing w:after="0"/>
              <w:rPr>
                <w:sz w:val="20"/>
                <w:szCs w:val="20"/>
                <w:color w:val="auto"/>
              </w:rPr>
            </w:pPr>
            <w:r>
              <w:rPr>
                <w:rFonts w:ascii="Arial" w:cs="Arial" w:eastAsia="Arial" w:hAnsi="Arial"/>
                <w:sz w:val="13"/>
                <w:szCs w:val="13"/>
                <w:color w:val="auto"/>
              </w:rPr>
              <w:t>The aggregate payroll costs of employees of the Group for the year ended 31 December 2020 were as follows:</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69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72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90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i w:val="1"/>
                <w:iCs w:val="1"/>
                <w:color w:val="auto"/>
              </w:rPr>
              <w:t>Note</w:t>
            </w:r>
          </w:p>
        </w:tc>
        <w:tc>
          <w:tcPr>
            <w:tcW w:w="272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c>
          <w:tcPr>
            <w:tcW w:w="0" w:type="dxa"/>
            <w:vAlign w:val="bottom"/>
          </w:tcPr>
          <w:p>
            <w:pPr>
              <w:spacing w:after="0"/>
              <w:rPr>
                <w:sz w:val="1"/>
                <w:szCs w:val="1"/>
                <w:color w:val="auto"/>
              </w:rPr>
            </w:pPr>
          </w:p>
        </w:tc>
      </w:tr>
      <w:tr>
        <w:trPr>
          <w:trHeight w:val="169"/>
        </w:trPr>
        <w:tc>
          <w:tcPr>
            <w:tcW w:w="69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vMerge w:val="continue"/>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2020</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60"/>
        </w:trPr>
        <w:tc>
          <w:tcPr>
            <w:tcW w:w="6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2"/>
        </w:trPr>
        <w:tc>
          <w:tcPr>
            <w:tcW w:w="69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900" w:type="dxa"/>
            <w:vAlign w:val="bottom"/>
          </w:tcPr>
          <w:p>
            <w:pPr>
              <w:ind w:left="20"/>
              <w:spacing w:after="0"/>
              <w:rPr>
                <w:sz w:val="20"/>
                <w:szCs w:val="20"/>
                <w:color w:val="auto"/>
              </w:rPr>
            </w:pPr>
            <w:r>
              <w:rPr>
                <w:rFonts w:ascii="Arial" w:cs="Arial" w:eastAsia="Arial" w:hAnsi="Arial"/>
                <w:sz w:val="13"/>
                <w:szCs w:val="13"/>
                <w:color w:val="auto"/>
              </w:rPr>
              <w:t>Wages and salaries</w:t>
            </w:r>
          </w:p>
        </w:tc>
        <w:tc>
          <w:tcPr>
            <w:tcW w:w="1660" w:type="dxa"/>
            <w:vAlign w:val="bottom"/>
          </w:tcPr>
          <w:p>
            <w:pPr>
              <w:spacing w:after="0"/>
              <w:rPr>
                <w:sz w:val="14"/>
                <w:szCs w:val="14"/>
                <w:color w:val="auto"/>
              </w:rPr>
            </w:pPr>
          </w:p>
        </w:tc>
        <w:tc>
          <w:tcPr>
            <w:tcW w:w="1660" w:type="dxa"/>
            <w:vAlign w:val="bottom"/>
          </w:tcPr>
          <w:p>
            <w:pPr>
              <w:jc w:val="right"/>
              <w:ind w:right="416"/>
              <w:spacing w:after="0"/>
              <w:rPr>
                <w:sz w:val="20"/>
                <w:szCs w:val="20"/>
                <w:color w:val="auto"/>
              </w:rPr>
            </w:pPr>
            <w:r>
              <w:rPr>
                <w:rFonts w:ascii="Arial" w:cs="Arial" w:eastAsia="Arial" w:hAnsi="Arial"/>
                <w:sz w:val="13"/>
                <w:szCs w:val="13"/>
                <w:b w:val="1"/>
                <w:bCs w:val="1"/>
                <w:color w:val="auto"/>
              </w:rPr>
              <w:t>1,117,473</w:t>
            </w:r>
          </w:p>
        </w:tc>
        <w:tc>
          <w:tcPr>
            <w:tcW w:w="1040" w:type="dxa"/>
            <w:vAlign w:val="bottom"/>
          </w:tcPr>
          <w:p>
            <w:pPr>
              <w:jc w:val="right"/>
              <w:spacing w:after="0"/>
              <w:rPr>
                <w:sz w:val="20"/>
                <w:szCs w:val="20"/>
                <w:color w:val="auto"/>
              </w:rPr>
            </w:pPr>
            <w:r>
              <w:rPr>
                <w:rFonts w:ascii="Arial" w:cs="Arial" w:eastAsia="Arial" w:hAnsi="Arial"/>
                <w:sz w:val="13"/>
                <w:szCs w:val="13"/>
                <w:color w:val="auto"/>
              </w:rPr>
              <w:t>1,040,268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Social welfare costs</w:t>
            </w:r>
          </w:p>
        </w:tc>
        <w:tc>
          <w:tcPr>
            <w:tcW w:w="16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160,015</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147,850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tcPr>
          <w:p>
            <w:pPr>
              <w:ind w:left="20"/>
              <w:spacing w:after="0"/>
              <w:rPr>
                <w:sz w:val="20"/>
                <w:szCs w:val="20"/>
                <w:color w:val="auto"/>
              </w:rPr>
            </w:pPr>
            <w:r>
              <w:rPr>
                <w:rFonts w:ascii="Arial" w:cs="Arial" w:eastAsia="Arial" w:hAnsi="Arial"/>
                <w:sz w:val="13"/>
                <w:szCs w:val="13"/>
                <w:color w:val="auto"/>
              </w:rPr>
              <w:t>Pension costs for defined contribution pension schemes</w:t>
            </w:r>
          </w:p>
        </w:tc>
        <w:tc>
          <w:tcPr>
            <w:tcW w:w="1660" w:type="dxa"/>
            <w:vAlign w:val="bottom"/>
          </w:tcPr>
          <w:p>
            <w:pPr>
              <w:jc w:val="right"/>
              <w:ind w:right="216"/>
              <w:spacing w:after="0"/>
              <w:rPr>
                <w:sz w:val="20"/>
                <w:szCs w:val="20"/>
                <w:color w:val="auto"/>
              </w:rPr>
            </w:pPr>
            <w:r>
              <w:rPr>
                <w:rFonts w:ascii="Arial" w:cs="Arial" w:eastAsia="Arial" w:hAnsi="Arial"/>
                <w:sz w:val="13"/>
                <w:szCs w:val="13"/>
                <w:i w:val="1"/>
                <w:iCs w:val="1"/>
                <w:color w:val="auto"/>
              </w:rPr>
              <w:t>10</w:t>
            </w:r>
          </w:p>
        </w:tc>
        <w:tc>
          <w:tcPr>
            <w:tcW w:w="1660" w:type="dxa"/>
            <w:vAlign w:val="bottom"/>
          </w:tcPr>
          <w:p>
            <w:pPr>
              <w:jc w:val="right"/>
              <w:ind w:right="416"/>
              <w:spacing w:after="0"/>
              <w:rPr>
                <w:sz w:val="20"/>
                <w:szCs w:val="20"/>
                <w:color w:val="auto"/>
              </w:rPr>
            </w:pPr>
            <w:r>
              <w:rPr>
                <w:rFonts w:ascii="Arial" w:cs="Arial" w:eastAsia="Arial" w:hAnsi="Arial"/>
                <w:sz w:val="13"/>
                <w:szCs w:val="13"/>
                <w:b w:val="1"/>
                <w:bCs w:val="1"/>
                <w:color w:val="auto"/>
              </w:rPr>
              <w:t>45,084</w:t>
            </w:r>
          </w:p>
        </w:tc>
        <w:tc>
          <w:tcPr>
            <w:tcW w:w="1040" w:type="dxa"/>
            <w:vAlign w:val="bottom"/>
          </w:tcPr>
          <w:p>
            <w:pPr>
              <w:jc w:val="right"/>
              <w:spacing w:after="0"/>
              <w:rPr>
                <w:sz w:val="20"/>
                <w:szCs w:val="20"/>
                <w:color w:val="auto"/>
              </w:rPr>
            </w:pPr>
            <w:r>
              <w:rPr>
                <w:rFonts w:ascii="Arial" w:cs="Arial" w:eastAsia="Arial" w:hAnsi="Arial"/>
                <w:sz w:val="13"/>
                <w:szCs w:val="13"/>
                <w:color w:val="auto"/>
              </w:rPr>
              <w:t>42,952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costs for defined benefit pension schemes</w:t>
            </w:r>
          </w:p>
        </w:tc>
        <w:tc>
          <w:tcPr>
            <w:tcW w:w="1660" w:type="dxa"/>
            <w:vAlign w:val="bottom"/>
            <w:shd w:val="clear" w:color="auto" w:fill="CCEEFF"/>
          </w:tcPr>
          <w:p>
            <w:pPr>
              <w:jc w:val="right"/>
              <w:ind w:right="216"/>
              <w:spacing w:after="0"/>
              <w:rPr>
                <w:sz w:val="20"/>
                <w:szCs w:val="20"/>
                <w:color w:val="auto"/>
              </w:rPr>
            </w:pPr>
            <w:r>
              <w:rPr>
                <w:rFonts w:ascii="Arial" w:cs="Arial" w:eastAsia="Arial" w:hAnsi="Arial"/>
                <w:sz w:val="13"/>
                <w:szCs w:val="13"/>
                <w:i w:val="1"/>
                <w:iCs w:val="1"/>
                <w:color w:val="auto"/>
              </w:rPr>
              <w:t>10</w:t>
            </w:r>
          </w:p>
        </w:tc>
        <w:tc>
          <w:tcPr>
            <w:tcW w:w="16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321</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tcPr>
          <w:p>
            <w:pPr>
              <w:ind w:left="20"/>
              <w:spacing w:after="0"/>
              <w:rPr>
                <w:sz w:val="20"/>
                <w:szCs w:val="20"/>
                <w:color w:val="auto"/>
              </w:rPr>
            </w:pPr>
            <w:r>
              <w:rPr>
                <w:rFonts w:ascii="Arial" w:cs="Arial" w:eastAsia="Arial" w:hAnsi="Arial"/>
                <w:sz w:val="13"/>
                <w:szCs w:val="13"/>
                <w:color w:val="auto"/>
              </w:rPr>
              <w:t>Termination benefits</w:t>
            </w:r>
          </w:p>
        </w:tc>
        <w:tc>
          <w:tcPr>
            <w:tcW w:w="1660" w:type="dxa"/>
            <w:vAlign w:val="bottom"/>
          </w:tcPr>
          <w:p>
            <w:pPr>
              <w:jc w:val="right"/>
              <w:ind w:right="216"/>
              <w:spacing w:after="0"/>
              <w:rPr>
                <w:sz w:val="20"/>
                <w:szCs w:val="20"/>
                <w:color w:val="auto"/>
              </w:rPr>
            </w:pPr>
            <w:r>
              <w:rPr>
                <w:rFonts w:ascii="Arial" w:cs="Arial" w:eastAsia="Arial" w:hAnsi="Arial"/>
                <w:sz w:val="13"/>
                <w:szCs w:val="13"/>
                <w:i w:val="1"/>
                <w:iCs w:val="1"/>
                <w:color w:val="auto"/>
              </w:rPr>
              <w:t>8</w:t>
            </w:r>
          </w:p>
        </w:tc>
        <w:tc>
          <w:tcPr>
            <w:tcW w:w="1660" w:type="dxa"/>
            <w:vAlign w:val="bottom"/>
          </w:tcPr>
          <w:p>
            <w:pPr>
              <w:jc w:val="right"/>
              <w:ind w:right="416"/>
              <w:spacing w:after="0"/>
              <w:rPr>
                <w:sz w:val="20"/>
                <w:szCs w:val="20"/>
                <w:color w:val="auto"/>
              </w:rPr>
            </w:pPr>
            <w:r>
              <w:rPr>
                <w:rFonts w:ascii="Arial" w:cs="Arial" w:eastAsia="Arial" w:hAnsi="Arial"/>
                <w:sz w:val="13"/>
                <w:szCs w:val="13"/>
                <w:b w:val="1"/>
                <w:bCs w:val="1"/>
                <w:color w:val="auto"/>
              </w:rPr>
              <w:t>11,391</w:t>
            </w: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16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i w:val="1"/>
                <w:iCs w:val="1"/>
                <w:color w:val="auto"/>
              </w:rPr>
              <w:t>11</w:t>
            </w: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26,597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25,886</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0"/>
              <w:spacing w:after="0"/>
              <w:rPr>
                <w:sz w:val="20"/>
                <w:szCs w:val="20"/>
                <w:color w:val="auto"/>
              </w:rPr>
            </w:pPr>
            <w:r>
              <w:rPr>
                <w:rFonts w:ascii="Arial" w:cs="Arial" w:eastAsia="Arial" w:hAnsi="Arial"/>
                <w:sz w:val="13"/>
                <w:szCs w:val="13"/>
                <w:b w:val="1"/>
                <w:bCs w:val="1"/>
                <w:color w:val="auto"/>
              </w:rPr>
              <w:t>Total charge to income</w:t>
            </w:r>
          </w:p>
        </w:tc>
        <w:tc>
          <w:tcPr>
            <w:tcW w:w="1660" w:type="dxa"/>
            <w:vAlign w:val="bottom"/>
          </w:tcPr>
          <w:p>
            <w:pPr>
              <w:spacing w:after="0"/>
              <w:rPr>
                <w:sz w:val="13"/>
                <w:szCs w:val="13"/>
                <w:color w:val="auto"/>
              </w:rPr>
            </w:pPr>
          </w:p>
        </w:tc>
        <w:tc>
          <w:tcPr>
            <w:tcW w:w="1660" w:type="dxa"/>
            <w:vAlign w:val="bottom"/>
          </w:tcPr>
          <w:p>
            <w:pPr>
              <w:jc w:val="right"/>
              <w:ind w:right="416"/>
              <w:spacing w:after="0"/>
              <w:rPr>
                <w:sz w:val="20"/>
                <w:szCs w:val="20"/>
                <w:color w:val="auto"/>
              </w:rPr>
            </w:pPr>
            <w:r>
              <w:rPr>
                <w:rFonts w:ascii="Arial" w:cs="Arial" w:eastAsia="Arial" w:hAnsi="Arial"/>
                <w:sz w:val="13"/>
                <w:szCs w:val="13"/>
                <w:b w:val="1"/>
                <w:bCs w:val="1"/>
                <w:color w:val="auto"/>
              </w:rPr>
              <w:t>1,360,881</w:t>
            </w:r>
          </w:p>
        </w:tc>
        <w:tc>
          <w:tcPr>
            <w:tcW w:w="1040" w:type="dxa"/>
            <w:vAlign w:val="bottom"/>
          </w:tcPr>
          <w:p>
            <w:pPr>
              <w:jc w:val="right"/>
              <w:spacing w:after="0"/>
              <w:rPr>
                <w:sz w:val="20"/>
                <w:szCs w:val="20"/>
                <w:color w:val="auto"/>
              </w:rPr>
            </w:pPr>
            <w:r>
              <w:rPr>
                <w:rFonts w:ascii="Arial" w:cs="Arial" w:eastAsia="Arial" w:hAnsi="Arial"/>
                <w:sz w:val="13"/>
                <w:szCs w:val="13"/>
                <w:color w:val="auto"/>
              </w:rPr>
              <w:t>1,257,260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Re-measurement of post-employment benefit obligations</w:t>
            </w:r>
          </w:p>
        </w:tc>
        <w:tc>
          <w:tcPr>
            <w:tcW w:w="16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i w:val="1"/>
                <w:iCs w:val="1"/>
                <w:color w:val="auto"/>
              </w:rPr>
              <w:t>10</w:t>
            </w: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3,730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9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payroll and related benefit costs</w:t>
            </w:r>
          </w:p>
        </w:tc>
        <w:tc>
          <w:tcPr>
            <w:tcW w:w="16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1,364,611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1,259,667</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80" w:hanging="75"/>
        <w:spacing w:after="0"/>
        <w:tabs>
          <w:tab w:leader="none" w:pos="80" w:val="left"/>
        </w:tabs>
        <w:numPr>
          <w:ilvl w:val="0"/>
          <w:numId w:val="69"/>
        </w:numPr>
        <w:rPr>
          <w:rFonts w:ascii="Arial" w:cs="Arial" w:eastAsia="Arial" w:hAnsi="Arial"/>
          <w:sz w:val="11"/>
          <w:szCs w:val="11"/>
          <w:color w:val="auto"/>
        </w:rPr>
      </w:pPr>
      <w:r>
        <w:rPr>
          <w:rFonts w:ascii="Arial" w:cs="Arial" w:eastAsia="Arial" w:hAnsi="Arial"/>
          <w:sz w:val="11"/>
          <w:szCs w:val="11"/>
          <w:i w:val="1"/>
          <w:iCs w:val="1"/>
          <w:color w:val="auto"/>
        </w:rPr>
        <w:t>IFRS 2 requires that the fair value of share options, restricted share units or performance share units is amortised over the vesting period of the award.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696"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b w:val="1"/>
          <w:bCs w:val="1"/>
          <w:color w:val="auto"/>
        </w:rPr>
        <w:t>Payroll and related benefits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Average employee numbers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average number of employees, including executive Directors, employed by the Group during the year ended 31 December 2020 was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shd w:val="clear" w:color="auto" w:fill="CCEEFF"/>
          </w:tcPr>
          <w:p>
            <w:pPr>
              <w:spacing w:after="0"/>
              <w:rPr>
                <w:sz w:val="13"/>
                <w:szCs w:val="13"/>
                <w:color w:val="auto"/>
              </w:rPr>
            </w:pP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5140" w:type="dxa"/>
            <w:vAlign w:val="bottom"/>
            <w:tcBorders>
              <w:bottom w:val="single" w:sz="8" w:color="auto"/>
            </w:tcBorders>
            <w:shd w:val="clear" w:color="auto" w:fill="CCEEFF"/>
          </w:tcPr>
          <w:p>
            <w:pPr>
              <w:spacing w:after="0"/>
              <w:rPr>
                <w:sz w:val="14"/>
                <w:szCs w:val="14"/>
                <w:color w:val="auto"/>
              </w:rPr>
            </w:pPr>
          </w:p>
        </w:tc>
        <w:tc>
          <w:tcPr>
            <w:tcW w:w="5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December 2020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50"/>
        </w:trPr>
        <w:tc>
          <w:tcPr>
            <w:tcW w:w="51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w:t>
            </w:r>
          </w:p>
        </w:tc>
        <w:tc>
          <w:tcPr>
            <w:tcW w:w="516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209</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Administration</w:t>
            </w:r>
          </w:p>
        </w:tc>
        <w:tc>
          <w:tcPr>
            <w:tcW w:w="5160" w:type="dxa"/>
            <w:vAlign w:val="bottom"/>
          </w:tcPr>
          <w:p>
            <w:pPr>
              <w:jc w:val="right"/>
              <w:ind w:right="496"/>
              <w:spacing w:after="0"/>
              <w:rPr>
                <w:sz w:val="20"/>
                <w:szCs w:val="20"/>
                <w:color w:val="auto"/>
              </w:rPr>
            </w:pPr>
            <w:r>
              <w:rPr>
                <w:rFonts w:ascii="Arial" w:cs="Arial" w:eastAsia="Arial" w:hAnsi="Arial"/>
                <w:sz w:val="13"/>
                <w:szCs w:val="13"/>
                <w:b w:val="1"/>
                <w:bCs w:val="1"/>
                <w:color w:val="auto"/>
              </w:rPr>
              <w:t>1,780</w:t>
            </w:r>
          </w:p>
        </w:tc>
        <w:tc>
          <w:tcPr>
            <w:tcW w:w="980" w:type="dxa"/>
            <w:vAlign w:val="bottom"/>
          </w:tcPr>
          <w:p>
            <w:pPr>
              <w:jc w:val="right"/>
              <w:spacing w:after="0"/>
              <w:rPr>
                <w:sz w:val="20"/>
                <w:szCs w:val="20"/>
                <w:color w:val="auto"/>
              </w:rPr>
            </w:pPr>
            <w:r>
              <w:rPr>
                <w:rFonts w:ascii="Arial" w:cs="Arial" w:eastAsia="Arial" w:hAnsi="Arial"/>
                <w:sz w:val="13"/>
                <w:szCs w:val="13"/>
                <w:color w:val="auto"/>
              </w:rPr>
              <w:t>1,782</w:t>
            </w:r>
          </w:p>
        </w:tc>
      </w:t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Clinical research</w:t>
            </w:r>
          </w:p>
        </w:tc>
        <w:tc>
          <w:tcPr>
            <w:tcW w:w="516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12,455</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11,622</w:t>
            </w:r>
          </w:p>
        </w:tc>
      </w:tr>
      <w:tr>
        <w:trPr>
          <w:trHeight w:val="16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Laboratory</w:t>
            </w:r>
          </w:p>
        </w:tc>
        <w:tc>
          <w:tcPr>
            <w:tcW w:w="51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730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653</w:t>
            </w:r>
          </w:p>
        </w:tc>
      </w:tr>
      <w:tr>
        <w:trPr>
          <w:trHeight w:val="150"/>
        </w:trPr>
        <w:tc>
          <w:tcPr>
            <w:tcW w:w="5140" w:type="dxa"/>
            <w:vAlign w:val="bottom"/>
            <w:shd w:val="clear" w:color="auto" w:fill="CCEEFF"/>
          </w:tcPr>
          <w:p>
            <w:pPr>
              <w:spacing w:after="0"/>
              <w:rPr>
                <w:sz w:val="13"/>
                <w:szCs w:val="13"/>
                <w:color w:val="auto"/>
              </w:rPr>
            </w:pPr>
          </w:p>
        </w:tc>
        <w:tc>
          <w:tcPr>
            <w:tcW w:w="5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1"/>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1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15,174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14,247</w:t>
            </w:r>
          </w:p>
        </w:tc>
      </w:tr>
      <w:tr>
        <w:trPr>
          <w:trHeight w:val="420"/>
        </w:trPr>
        <w:tc>
          <w:tcPr>
            <w:tcW w:w="5140" w:type="dxa"/>
            <w:vAlign w:val="bottom"/>
          </w:tcPr>
          <w:p>
            <w:pPr>
              <w:spacing w:after="0"/>
              <w:rPr>
                <w:sz w:val="20"/>
                <w:szCs w:val="20"/>
                <w:color w:val="auto"/>
              </w:rPr>
            </w:pPr>
            <w:r>
              <w:rPr>
                <w:rFonts w:ascii="Arial" w:cs="Arial" w:eastAsia="Arial" w:hAnsi="Arial"/>
                <w:sz w:val="13"/>
                <w:szCs w:val="13"/>
                <w:b w:val="1"/>
                <w:bCs w:val="1"/>
                <w:color w:val="auto"/>
              </w:rPr>
              <w:t>Directors’ remuneration</w:t>
            </w:r>
          </w:p>
        </w:tc>
        <w:tc>
          <w:tcPr>
            <w:tcW w:w="5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0"/>
        </w:trPr>
        <w:tc>
          <w:tcPr>
            <w:tcW w:w="5140" w:type="dxa"/>
            <w:vAlign w:val="bottom"/>
          </w:tcPr>
          <w:p>
            <w:pPr>
              <w:spacing w:after="0"/>
              <w:rPr>
                <w:sz w:val="20"/>
                <w:szCs w:val="20"/>
                <w:color w:val="auto"/>
              </w:rPr>
            </w:pPr>
            <w:r>
              <w:rPr>
                <w:rFonts w:ascii="Arial" w:cs="Arial" w:eastAsia="Arial" w:hAnsi="Arial"/>
                <w:sz w:val="13"/>
                <w:szCs w:val="13"/>
                <w:i w:val="1"/>
                <w:iCs w:val="1"/>
                <w:color w:val="auto"/>
              </w:rPr>
              <w:t>Remuneration policy</w:t>
            </w:r>
          </w:p>
        </w:tc>
        <w:tc>
          <w:tcPr>
            <w:tcW w:w="5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Company’s executive compensation programme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Non-Executive Directors’ remuneration</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Non-Executive Directors are remunerated by way of Directors’ fees and are also eligible for participation in the share equity incentive schemes. During 2020, each Non-Executive Director (excluding the Board Chair) was paid an annual retainer of $65,000 and additional fees for Board Committee service.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Mr. Ciaran Murray’s Executive Chair term expired on 12 May 2018 and he transitioned to the role of Chair. The arrangements with the Chair of the Board provide for payment of €300,000 (translated at average rate for the year: $340,710) annually.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Mr. Rónán Murphy was appointed as Lead Independent Director with effect from 1 January 2019 and receives an additional fee of $25,000 for this role.</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Non-Executive Directors are not eligible for performance related cash bonuses and no pension contributions are made on their behalf. The Compensation and Organisation Committee sets non-Executive remuneration.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Directors’ and Key Executive Officers’ remuneration</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Total cash compensation is divided into a base salary portion and a bonus incentive portion.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50% and 100% with actual pay outs for 2020 ranging from 25% to 70% of salary based on group and individual performance.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 total bonus of $1.1 million was awarded to the following individuals; Dr. Steve Cutler, Chief Executive Officer ($0.8 million) and Mr. Brendan Brennan, Chief Financial Officer ($0.3 million) to reflect their contribution to the performance of the Company during 2020. These amounts were approved by the Compensation and Organisation Committee and have been paid during the year ended 31 December 2021.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696" w:right="31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All executive officers are eligible to participate in pension plans.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Consolidated Statement of Profit and Loss.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696"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Directors, Executive Officers and Company Secretary have the following interests, all of which are beneficial, other than as stated, in the shares and share options of the Company or other Group companies at the following dates: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6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Interest at</w:t>
            </w:r>
          </w:p>
        </w:tc>
        <w:tc>
          <w:tcPr>
            <w:tcW w:w="9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Interest at</w:t>
            </w:r>
          </w:p>
        </w:tc>
        <w:tc>
          <w:tcPr>
            <w:tcW w:w="880" w:type="dxa"/>
            <w:vAlign w:val="bottom"/>
            <w:shd w:val="clear" w:color="auto" w:fill="CCEEFF"/>
          </w:tcPr>
          <w:p>
            <w:pPr>
              <w:spacing w:after="0"/>
              <w:rPr>
                <w:sz w:val="16"/>
                <w:szCs w:val="16"/>
                <w:color w:val="auto"/>
              </w:rPr>
            </w:pPr>
          </w:p>
        </w:tc>
      </w:tr>
      <w:tr>
        <w:trPr>
          <w:trHeight w:val="169"/>
        </w:trPr>
        <w:tc>
          <w:tcPr>
            <w:tcW w:w="20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b w:val="1"/>
                <w:bCs w:val="1"/>
                <w:color w:val="auto"/>
              </w:rPr>
              <w:t>31 December 2020</w:t>
            </w:r>
          </w:p>
        </w:tc>
        <w:tc>
          <w:tcPr>
            <w:tcW w:w="240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color w:val="auto"/>
              </w:rPr>
              <w:t>31 December 2019</w:t>
            </w:r>
          </w:p>
        </w:tc>
      </w:tr>
      <w:tr>
        <w:trPr>
          <w:trHeight w:val="371"/>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b w:val="1"/>
                <w:bCs w:val="1"/>
                <w:color w:val="auto"/>
              </w:rPr>
              <w:t>Name of company and description of shares</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Number of shares</w:t>
            </w:r>
          </w:p>
        </w:tc>
        <w:tc>
          <w:tcPr>
            <w:tcW w:w="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w w:val="97"/>
              </w:rPr>
              <w:t>Options</w:t>
            </w:r>
          </w:p>
        </w:tc>
        <w:tc>
          <w:tcPr>
            <w:tcW w:w="1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Number of shares</w:t>
            </w:r>
          </w:p>
        </w:tc>
        <w:tc>
          <w:tcPr>
            <w:tcW w:w="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Options</w:t>
            </w:r>
          </w:p>
        </w:tc>
      </w:tr>
      <w:tr>
        <w:trPr>
          <w:trHeight w:val="184"/>
        </w:trPr>
        <w:tc>
          <w:tcPr>
            <w:tcW w:w="20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39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20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710</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58,646</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58,646</w:t>
            </w:r>
          </w:p>
        </w:tc>
      </w:tr>
      <w:tr>
        <w:trPr>
          <w:trHeight w:val="182"/>
        </w:trPr>
        <w:tc>
          <w:tcPr>
            <w:tcW w:w="20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2060" w:type="dxa"/>
            <w:vAlign w:val="bottom"/>
            <w:tcBorders>
              <w:bottom w:val="single" w:sz="8" w:color="auto"/>
            </w:tcBorders>
            <w:shd w:val="clear" w:color="auto" w:fill="CCEEFF"/>
          </w:tcPr>
          <w:p>
            <w:pPr>
              <w:spacing w:after="0"/>
              <w:rPr>
                <w:sz w:val="15"/>
                <w:szCs w:val="15"/>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26,601</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135,555</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30,686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149,098</w:t>
            </w:r>
          </w:p>
        </w:tc>
      </w:tr>
      <w:tr>
        <w:trPr>
          <w:trHeight w:val="182"/>
        </w:trPr>
        <w:tc>
          <w:tcPr>
            <w:tcW w:w="20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39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69"/>
        </w:trPr>
        <w:tc>
          <w:tcPr>
            <w:tcW w:w="20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19,472</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55,373</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14,640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72,295</w:t>
            </w:r>
          </w:p>
        </w:tc>
      </w:tr>
      <w:tr>
        <w:trPr>
          <w:trHeight w:val="182"/>
        </w:trPr>
        <w:tc>
          <w:tcPr>
            <w:tcW w:w="20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710</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9,622</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11,160</w:t>
            </w:r>
          </w:p>
        </w:tc>
      </w:tr>
      <w:tr>
        <w:trPr>
          <w:trHeight w:val="182"/>
        </w:trPr>
        <w:tc>
          <w:tcPr>
            <w:tcW w:w="20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Professor Hugh Brady</w:t>
            </w:r>
          </w:p>
        </w:tc>
        <w:tc>
          <w:tcPr>
            <w:tcW w:w="39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20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5,192</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10,841</w:t>
            </w:r>
          </w:p>
        </w:tc>
      </w:tr>
      <w:tr>
        <w:trPr>
          <w:trHeight w:val="182"/>
        </w:trPr>
        <w:tc>
          <w:tcPr>
            <w:tcW w:w="20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563,278</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45,755</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610,511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47,755</w:t>
            </w:r>
          </w:p>
        </w:tc>
      </w:tr>
      <w:tr>
        <w:trPr>
          <w:trHeight w:val="182"/>
        </w:trPr>
        <w:tc>
          <w:tcPr>
            <w:tcW w:w="20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39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20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710</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5,005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5,005</w:t>
            </w:r>
          </w:p>
        </w:tc>
      </w:tr>
      <w:tr>
        <w:trPr>
          <w:trHeight w:val="182"/>
        </w:trPr>
        <w:tc>
          <w:tcPr>
            <w:tcW w:w="20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Professor William Hall</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5,192</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10,841</w:t>
            </w:r>
          </w:p>
        </w:tc>
      </w:tr>
      <w:tr>
        <w:trPr>
          <w:trHeight w:val="182"/>
        </w:trPr>
        <w:tc>
          <w:tcPr>
            <w:tcW w:w="20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39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20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710</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5,005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5,005</w:t>
            </w:r>
          </w:p>
        </w:tc>
      </w:tr>
      <w:tr>
        <w:trPr>
          <w:trHeight w:val="182"/>
        </w:trPr>
        <w:tc>
          <w:tcPr>
            <w:tcW w:w="20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Julie O'Neill</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520</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r>
      <w:tr>
        <w:trPr>
          <w:trHeight w:val="182"/>
        </w:trPr>
        <w:tc>
          <w:tcPr>
            <w:tcW w:w="20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39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20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767</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43,255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43,255</w:t>
            </w:r>
          </w:p>
        </w:tc>
      </w:tr>
      <w:tr>
        <w:trPr>
          <w:trHeight w:val="182"/>
        </w:trPr>
        <w:tc>
          <w:tcPr>
            <w:tcW w:w="20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396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6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3,389</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21,500</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35,471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696" w:right="31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b w:val="1"/>
          <w:bCs w:val="1"/>
          <w:color w:val="auto"/>
        </w:rPr>
        <w:t>Payroll and related benefits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Further details regarding the above share options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374"/>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1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Options</w:t>
            </w:r>
          </w:p>
        </w:tc>
        <w:tc>
          <w:tcPr>
            <w:tcW w:w="222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b w:val="1"/>
                <w:bCs w:val="1"/>
                <w:color w:val="auto"/>
              </w:rPr>
              <w:t>Exercise price</w:t>
            </w:r>
          </w:p>
        </w:tc>
        <w:tc>
          <w:tcPr>
            <w:tcW w:w="12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Grant date</w:t>
            </w:r>
          </w:p>
        </w:tc>
        <w:tc>
          <w:tcPr>
            <w:tcW w:w="8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Expiry date</w:t>
            </w:r>
          </w:p>
        </w:tc>
      </w:tr>
      <w:tr>
        <w:trPr>
          <w:trHeight w:val="157"/>
        </w:trPr>
        <w:tc>
          <w:tcPr>
            <w:tcW w:w="2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45,948</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2024</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7,693</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$90.03</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1240" w:type="dxa"/>
            <w:vAlign w:val="bottom"/>
          </w:tcPr>
          <w:p>
            <w:pPr>
              <w:jc w:val="right"/>
              <w:ind w:right="596"/>
              <w:spacing w:after="0"/>
              <w:rPr>
                <w:sz w:val="20"/>
                <w:szCs w:val="20"/>
                <w:color w:val="auto"/>
              </w:rPr>
            </w:pPr>
            <w:r>
              <w:rPr>
                <w:rFonts w:ascii="Arial" w:cs="Arial" w:eastAsia="Arial" w:hAnsi="Arial"/>
                <w:sz w:val="13"/>
                <w:szCs w:val="13"/>
                <w:color w:val="auto"/>
                <w:w w:val="98"/>
              </w:rPr>
              <w:t>May 2017</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580" w:type="dxa"/>
            <w:vAlign w:val="bottom"/>
          </w:tcPr>
          <w:p>
            <w:pPr>
              <w:jc w:val="right"/>
              <w:spacing w:after="0"/>
              <w:rPr>
                <w:sz w:val="20"/>
                <w:szCs w:val="20"/>
                <w:color w:val="auto"/>
              </w:rPr>
            </w:pPr>
            <w:r>
              <w:rPr>
                <w:rFonts w:ascii="Arial" w:cs="Arial" w:eastAsia="Arial" w:hAnsi="Arial"/>
                <w:sz w:val="13"/>
                <w:szCs w:val="13"/>
                <w:color w:val="auto"/>
                <w:w w:val="94"/>
              </w:rPr>
              <w:t>May 2025</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$125.74</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4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2018</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May 2026</w:t>
            </w:r>
          </w:p>
        </w:tc>
      </w:tr>
      <w:tr>
        <w:trPr>
          <w:trHeight w:val="152"/>
        </w:trPr>
        <w:tc>
          <w:tcPr>
            <w:tcW w:w="2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6,128</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2024</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25,156</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$83.47</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2017</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2025</w:t>
            </w:r>
          </w:p>
        </w:tc>
      </w:tr>
      <w:tr>
        <w:trPr>
          <w:trHeight w:val="172"/>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29,613</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$115.11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2018</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2026</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32,272</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$140.38</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2019</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2027</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42,386</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$159.33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2020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2028</w:t>
            </w:r>
          </w:p>
        </w:tc>
      </w:tr>
      <w:tr>
        <w:trPr>
          <w:trHeight w:val="152"/>
        </w:trPr>
        <w:tc>
          <w:tcPr>
            <w:tcW w:w="2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1"/>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13,611</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2024</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14,206</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$83.47</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2017</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2025</w:t>
            </w:r>
          </w:p>
        </w:tc>
      </w:tr>
      <w:tr>
        <w:trPr>
          <w:trHeight w:val="172"/>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9,584</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$115.11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2018</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2026</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8,796</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$140.38</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2019</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2027</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9,176</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$159.33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2020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2028</w:t>
            </w:r>
          </w:p>
        </w:tc>
      </w:tr>
      <w:tr>
        <w:trPr>
          <w:trHeight w:val="152"/>
        </w:trPr>
        <w:tc>
          <w:tcPr>
            <w:tcW w:w="2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4,617</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$90.03</w:t>
            </w:r>
          </w:p>
        </w:tc>
        <w:tc>
          <w:tcPr>
            <w:tcW w:w="2640" w:type="dxa"/>
            <w:vAlign w:val="bottom"/>
            <w:gridSpan w:val="3"/>
            <w:shd w:val="clear" w:color="auto" w:fill="CCEEFF"/>
          </w:tcPr>
          <w:p>
            <w:pPr>
              <w:jc w:val="right"/>
              <w:ind w:right="596"/>
              <w:spacing w:after="0"/>
              <w:rPr>
                <w:sz w:val="20"/>
                <w:szCs w:val="20"/>
                <w:color w:val="auto"/>
              </w:rPr>
            </w:pPr>
            <w:r>
              <w:rPr>
                <w:rFonts w:ascii="Arial" w:cs="Arial" w:eastAsia="Arial" w:hAnsi="Arial"/>
                <w:sz w:val="13"/>
                <w:szCs w:val="13"/>
                <w:color w:val="auto"/>
              </w:rPr>
              <w:t>19 May 2017</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 May 2025</w:t>
            </w:r>
          </w:p>
        </w:tc>
      </w:tr>
      <w:tr>
        <w:trPr>
          <w:trHeight w:val="168"/>
        </w:trPr>
        <w:tc>
          <w:tcPr>
            <w:tcW w:w="27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tcPr>
          <w:p>
            <w:pPr>
              <w:jc w:val="right"/>
              <w:ind w:right="1096"/>
              <w:spacing w:after="0"/>
              <w:rPr>
                <w:sz w:val="20"/>
                <w:szCs w:val="20"/>
                <w:color w:val="auto"/>
              </w:rPr>
            </w:pPr>
            <w:r>
              <w:rPr>
                <w:rFonts w:ascii="Arial" w:cs="Arial" w:eastAsia="Arial" w:hAnsi="Arial"/>
                <w:sz w:val="13"/>
                <w:szCs w:val="13"/>
                <w:color w:val="auto"/>
              </w:rPr>
              <w:t>$125.74</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w w:val="98"/>
              </w:rPr>
              <w:t>May 2018</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May 2026</w:t>
            </w:r>
          </w:p>
        </w:tc>
      </w:tr>
      <w:tr>
        <w:trPr>
          <w:trHeight w:val="152"/>
        </w:trPr>
        <w:tc>
          <w:tcPr>
            <w:tcW w:w="272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Professor Hugh Brady</w:t>
            </w: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2,113</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$65.60</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1240" w:type="dxa"/>
            <w:vAlign w:val="bottom"/>
          </w:tcPr>
          <w:p>
            <w:pPr>
              <w:jc w:val="right"/>
              <w:ind w:right="596"/>
              <w:spacing w:after="0"/>
              <w:rPr>
                <w:sz w:val="20"/>
                <w:szCs w:val="20"/>
                <w:color w:val="auto"/>
              </w:rPr>
            </w:pPr>
            <w:r>
              <w:rPr>
                <w:rFonts w:ascii="Arial" w:cs="Arial" w:eastAsia="Arial" w:hAnsi="Arial"/>
                <w:sz w:val="13"/>
                <w:szCs w:val="13"/>
                <w:color w:val="auto"/>
                <w:w w:val="98"/>
              </w:rPr>
              <w:t>May 2016</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580" w:type="dxa"/>
            <w:vAlign w:val="bottom"/>
          </w:tcPr>
          <w:p>
            <w:pPr>
              <w:jc w:val="right"/>
              <w:spacing w:after="0"/>
              <w:rPr>
                <w:sz w:val="20"/>
                <w:szCs w:val="20"/>
                <w:color w:val="auto"/>
              </w:rPr>
            </w:pPr>
            <w:r>
              <w:rPr>
                <w:rFonts w:ascii="Arial" w:cs="Arial" w:eastAsia="Arial" w:hAnsi="Arial"/>
                <w:sz w:val="13"/>
                <w:szCs w:val="13"/>
                <w:color w:val="auto"/>
                <w:w w:val="94"/>
              </w:rPr>
              <w:t>May 2024</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3,079</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$90.03</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4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2017</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May 2025</w:t>
            </w:r>
          </w:p>
        </w:tc>
      </w:tr>
      <w:tr>
        <w:trPr>
          <w:trHeight w:val="152"/>
        </w:trPr>
        <w:tc>
          <w:tcPr>
            <w:tcW w:w="2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1"/>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2,500</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$32.37</w:t>
            </w: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2013</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May 2021</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10,000</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$40.83</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1240" w:type="dxa"/>
            <w:vAlign w:val="bottom"/>
          </w:tcPr>
          <w:p>
            <w:pPr>
              <w:jc w:val="right"/>
              <w:ind w:right="596"/>
              <w:spacing w:after="0"/>
              <w:rPr>
                <w:sz w:val="20"/>
                <w:szCs w:val="20"/>
                <w:color w:val="auto"/>
              </w:rPr>
            </w:pPr>
            <w:r>
              <w:rPr>
                <w:rFonts w:ascii="Arial" w:cs="Arial" w:eastAsia="Arial" w:hAnsi="Arial"/>
                <w:sz w:val="13"/>
                <w:szCs w:val="13"/>
                <w:color w:val="auto"/>
                <w:w w:val="98"/>
              </w:rPr>
              <w:t>May 2014</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580" w:type="dxa"/>
            <w:vAlign w:val="bottom"/>
          </w:tcPr>
          <w:p>
            <w:pPr>
              <w:jc w:val="right"/>
              <w:spacing w:after="0"/>
              <w:rPr>
                <w:sz w:val="20"/>
                <w:szCs w:val="20"/>
                <w:color w:val="auto"/>
              </w:rPr>
            </w:pPr>
            <w:r>
              <w:rPr>
                <w:rFonts w:ascii="Arial" w:cs="Arial" w:eastAsia="Arial" w:hAnsi="Arial"/>
                <w:sz w:val="13"/>
                <w:szCs w:val="13"/>
                <w:color w:val="auto"/>
                <w:w w:val="94"/>
              </w:rPr>
              <w:t>May 2022</w:t>
            </w:r>
          </w:p>
        </w:tc>
      </w:tr>
      <w:tr>
        <w:trPr>
          <w:trHeight w:val="172"/>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10,000</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$68.39</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2015</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2023</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10,557</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$65.60</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1240" w:type="dxa"/>
            <w:vAlign w:val="bottom"/>
          </w:tcPr>
          <w:p>
            <w:pPr>
              <w:jc w:val="right"/>
              <w:ind w:right="596"/>
              <w:spacing w:after="0"/>
              <w:rPr>
                <w:sz w:val="20"/>
                <w:szCs w:val="20"/>
                <w:color w:val="auto"/>
              </w:rPr>
            </w:pPr>
            <w:r>
              <w:rPr>
                <w:rFonts w:ascii="Arial" w:cs="Arial" w:eastAsia="Arial" w:hAnsi="Arial"/>
                <w:sz w:val="13"/>
                <w:szCs w:val="13"/>
                <w:color w:val="auto"/>
                <w:w w:val="98"/>
              </w:rPr>
              <w:t>May 2016</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580" w:type="dxa"/>
            <w:vAlign w:val="bottom"/>
          </w:tcPr>
          <w:p>
            <w:pPr>
              <w:jc w:val="right"/>
              <w:spacing w:after="0"/>
              <w:rPr>
                <w:sz w:val="20"/>
                <w:szCs w:val="20"/>
                <w:color w:val="auto"/>
              </w:rPr>
            </w:pPr>
            <w:r>
              <w:rPr>
                <w:rFonts w:ascii="Arial" w:cs="Arial" w:eastAsia="Arial" w:hAnsi="Arial"/>
                <w:sz w:val="13"/>
                <w:szCs w:val="13"/>
                <w:color w:val="auto"/>
                <w:w w:val="94"/>
              </w:rPr>
              <w:t>May 2024</w:t>
            </w:r>
          </w:p>
        </w:tc>
      </w:tr>
      <w:tr>
        <w:trPr>
          <w:trHeight w:val="172"/>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7,693</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$90.03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May 2025</w:t>
            </w:r>
          </w:p>
        </w:tc>
      </w:tr>
      <w:tr>
        <w:trPr>
          <w:trHeight w:val="168"/>
        </w:trPr>
        <w:tc>
          <w:tcPr>
            <w:tcW w:w="27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tcPr>
          <w:p>
            <w:pPr>
              <w:jc w:val="right"/>
              <w:ind w:right="1096"/>
              <w:spacing w:after="0"/>
              <w:rPr>
                <w:sz w:val="20"/>
                <w:szCs w:val="20"/>
                <w:color w:val="auto"/>
              </w:rPr>
            </w:pPr>
            <w:r>
              <w:rPr>
                <w:rFonts w:ascii="Arial" w:cs="Arial" w:eastAsia="Arial" w:hAnsi="Arial"/>
                <w:sz w:val="13"/>
                <w:szCs w:val="13"/>
                <w:color w:val="auto"/>
              </w:rPr>
              <w:t>$125.74</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w w:val="98"/>
              </w:rPr>
              <w:t>May 2018</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May 2026</w:t>
            </w:r>
          </w:p>
        </w:tc>
      </w:tr>
      <w:tr>
        <w:trPr>
          <w:trHeight w:val="152"/>
        </w:trPr>
        <w:tc>
          <w:tcPr>
            <w:tcW w:w="272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21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tcPr>
          <w:p>
            <w:pPr>
              <w:jc w:val="right"/>
              <w:ind w:right="1096"/>
              <w:spacing w:after="0"/>
              <w:rPr>
                <w:sz w:val="20"/>
                <w:szCs w:val="20"/>
                <w:color w:val="auto"/>
              </w:rPr>
            </w:pPr>
            <w:r>
              <w:rPr>
                <w:rFonts w:ascii="Arial" w:cs="Arial" w:eastAsia="Arial" w:hAnsi="Arial"/>
                <w:sz w:val="13"/>
                <w:szCs w:val="13"/>
                <w:color w:val="auto"/>
              </w:rPr>
              <w:t>$125.74</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w w:val="98"/>
              </w:rPr>
              <w:t>May 2018</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May 2026</w:t>
            </w:r>
          </w:p>
        </w:tc>
      </w:tr>
      <w:tr>
        <w:trPr>
          <w:trHeight w:val="152"/>
        </w:trPr>
        <w:tc>
          <w:tcPr>
            <w:tcW w:w="272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Professor William Hall</w:t>
            </w: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2,113</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$65.60</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1240" w:type="dxa"/>
            <w:vAlign w:val="bottom"/>
          </w:tcPr>
          <w:p>
            <w:pPr>
              <w:jc w:val="right"/>
              <w:ind w:right="596"/>
              <w:spacing w:after="0"/>
              <w:rPr>
                <w:sz w:val="20"/>
                <w:szCs w:val="20"/>
                <w:color w:val="auto"/>
              </w:rPr>
            </w:pPr>
            <w:r>
              <w:rPr>
                <w:rFonts w:ascii="Arial" w:cs="Arial" w:eastAsia="Arial" w:hAnsi="Arial"/>
                <w:sz w:val="13"/>
                <w:szCs w:val="13"/>
                <w:color w:val="auto"/>
                <w:w w:val="98"/>
              </w:rPr>
              <w:t>May 2016</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580" w:type="dxa"/>
            <w:vAlign w:val="bottom"/>
          </w:tcPr>
          <w:p>
            <w:pPr>
              <w:jc w:val="right"/>
              <w:spacing w:after="0"/>
              <w:rPr>
                <w:sz w:val="20"/>
                <w:szCs w:val="20"/>
                <w:color w:val="auto"/>
              </w:rPr>
            </w:pPr>
            <w:r>
              <w:rPr>
                <w:rFonts w:ascii="Arial" w:cs="Arial" w:eastAsia="Arial" w:hAnsi="Arial"/>
                <w:sz w:val="13"/>
                <w:szCs w:val="13"/>
                <w:color w:val="auto"/>
                <w:w w:val="94"/>
              </w:rPr>
              <w:t>May 2024</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3,079</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$90.03</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4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2017</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May 2025</w:t>
            </w:r>
          </w:p>
        </w:tc>
      </w:tr>
      <w:tr>
        <w:trPr>
          <w:trHeight w:val="152"/>
        </w:trPr>
        <w:tc>
          <w:tcPr>
            <w:tcW w:w="2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8"/>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3"/>
            <w:shd w:val="clear" w:color="auto" w:fill="CCEEFF"/>
          </w:tcPr>
          <w:p>
            <w:pPr>
              <w:jc w:val="right"/>
              <w:ind w:right="59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52"/>
        </w:trPr>
        <w:tc>
          <w:tcPr>
            <w:tcW w:w="2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9"/>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r>
      <w:tr>
        <w:trPr>
          <w:trHeight w:val="150"/>
        </w:trPr>
        <w:tc>
          <w:tcPr>
            <w:tcW w:w="2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10,000</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$40.83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May 2022</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10,000</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$68.39</w:t>
            </w:r>
          </w:p>
        </w:tc>
        <w:tc>
          <w:tcPr>
            <w:tcW w:w="1280" w:type="dxa"/>
            <w:vAlign w:val="bottom"/>
          </w:tcPr>
          <w:p>
            <w:pPr>
              <w:jc w:val="right"/>
              <w:spacing w:after="0"/>
              <w:rPr>
                <w:sz w:val="20"/>
                <w:szCs w:val="20"/>
                <w:color w:val="auto"/>
              </w:rPr>
            </w:pPr>
            <w:r>
              <w:rPr>
                <w:rFonts w:ascii="Arial" w:cs="Arial" w:eastAsia="Arial" w:hAnsi="Arial"/>
                <w:sz w:val="13"/>
                <w:szCs w:val="13"/>
                <w:color w:val="auto"/>
              </w:rPr>
              <w:t>18</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2015</w:t>
            </w:r>
          </w:p>
        </w:tc>
        <w:tc>
          <w:tcPr>
            <w:tcW w:w="840" w:type="dxa"/>
            <w:vAlign w:val="bottom"/>
          </w:tcPr>
          <w:p>
            <w:pPr>
              <w:jc w:val="right"/>
              <w:spacing w:after="0"/>
              <w:rPr>
                <w:sz w:val="20"/>
                <w:szCs w:val="20"/>
                <w:color w:val="auto"/>
              </w:rPr>
            </w:pPr>
            <w:r>
              <w:rPr>
                <w:rFonts w:ascii="Arial" w:cs="Arial" w:eastAsia="Arial" w:hAnsi="Arial"/>
                <w:sz w:val="13"/>
                <w:szCs w:val="13"/>
                <w:color w:val="auto"/>
              </w:rPr>
              <w:t>18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2023</w:t>
            </w:r>
          </w:p>
        </w:tc>
      </w:tr>
      <w:tr>
        <w:trPr>
          <w:trHeight w:val="172"/>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10,557</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$65.60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May 2024</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7,693</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$90.03</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1240" w:type="dxa"/>
            <w:vAlign w:val="bottom"/>
          </w:tcPr>
          <w:p>
            <w:pPr>
              <w:jc w:val="right"/>
              <w:ind w:right="596"/>
              <w:spacing w:after="0"/>
              <w:rPr>
                <w:sz w:val="20"/>
                <w:szCs w:val="20"/>
                <w:color w:val="auto"/>
              </w:rPr>
            </w:pPr>
            <w:r>
              <w:rPr>
                <w:rFonts w:ascii="Arial" w:cs="Arial" w:eastAsia="Arial" w:hAnsi="Arial"/>
                <w:sz w:val="13"/>
                <w:szCs w:val="13"/>
                <w:color w:val="auto"/>
                <w:w w:val="98"/>
              </w:rPr>
              <w:t>May 2017</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580" w:type="dxa"/>
            <w:vAlign w:val="bottom"/>
          </w:tcPr>
          <w:p>
            <w:pPr>
              <w:jc w:val="right"/>
              <w:spacing w:after="0"/>
              <w:rPr>
                <w:sz w:val="20"/>
                <w:szCs w:val="20"/>
                <w:color w:val="auto"/>
              </w:rPr>
            </w:pPr>
            <w:r>
              <w:rPr>
                <w:rFonts w:ascii="Arial" w:cs="Arial" w:eastAsia="Arial" w:hAnsi="Arial"/>
                <w:sz w:val="13"/>
                <w:szCs w:val="13"/>
                <w:color w:val="auto"/>
                <w:w w:val="94"/>
              </w:rPr>
              <w:t>May 2025</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$125.74</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4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2018</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May 2026</w:t>
            </w:r>
          </w:p>
        </w:tc>
      </w:tr>
      <w:tr>
        <w:trPr>
          <w:trHeight w:val="152"/>
        </w:trPr>
        <w:tc>
          <w:tcPr>
            <w:tcW w:w="2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1,841</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2024</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4,096</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$83.47</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2017</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2025</w:t>
            </w:r>
          </w:p>
        </w:tc>
      </w:tr>
      <w:tr>
        <w:trPr>
          <w:trHeight w:val="172"/>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4,327</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$115.11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2018</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2026</w:t>
            </w:r>
          </w:p>
        </w:tc>
      </w:tr>
      <w:tr>
        <w:trPr>
          <w:trHeight w:val="168"/>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5,499</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$140.38</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2019</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2027</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5,737</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$159.33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2020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2028</w:t>
            </w: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60"/>
          </w:cols>
          <w:pgMar w:left="300" w:top="696"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Restricted Share Units (“RSUs”) and Performance Share Units (“PSUs”) have been awarded to the Directors, Executive Officer and Company Secretary: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62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RSUs</w:t>
            </w:r>
          </w:p>
        </w:tc>
        <w:tc>
          <w:tcPr>
            <w:tcW w:w="174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Award date</w:t>
            </w:r>
          </w:p>
        </w:tc>
        <w:tc>
          <w:tcPr>
            <w:tcW w:w="158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Vesting Date</w:t>
            </w:r>
          </w:p>
        </w:tc>
        <w:tc>
          <w:tcPr>
            <w:tcW w:w="124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PSUs</w:t>
            </w:r>
            <w:r>
              <w:rPr>
                <w:rFonts w:ascii="Arial" w:cs="Arial" w:eastAsia="Arial" w:hAnsi="Arial"/>
                <w:sz w:val="16"/>
                <w:szCs w:val="16"/>
                <w:b w:val="1"/>
                <w:bCs w:val="1"/>
                <w:color w:val="auto"/>
                <w:vertAlign w:val="superscript"/>
              </w:rPr>
              <w:t>(1)</w:t>
            </w:r>
          </w:p>
        </w:tc>
        <w:tc>
          <w:tcPr>
            <w:tcW w:w="176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Award Date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150"/>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1,201</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2020</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22 May 2021</w:t>
            </w:r>
          </w:p>
        </w:tc>
        <w:tc>
          <w:tcPr>
            <w:tcW w:w="124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r>
      <w:tr>
        <w:trPr>
          <w:trHeight w:val="184"/>
        </w:trPr>
        <w:tc>
          <w:tcPr>
            <w:tcW w:w="2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4,302</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2018</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2021</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15,050</w:t>
            </w: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2018</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2021</w:t>
            </w: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3,578</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2019</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2021</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12,526</w:t>
            </w:r>
          </w:p>
        </w:tc>
        <w:tc>
          <w:tcPr>
            <w:tcW w:w="1760" w:type="dxa"/>
            <w:vAlign w:val="bottom"/>
          </w:tcPr>
          <w:p>
            <w:pPr>
              <w:jc w:val="right"/>
              <w:ind w:right="436"/>
              <w:spacing w:after="0"/>
              <w:rPr>
                <w:sz w:val="20"/>
                <w:szCs w:val="20"/>
                <w:color w:val="auto"/>
              </w:rPr>
            </w:pPr>
            <w:r>
              <w:rPr>
                <w:rFonts w:ascii="Arial" w:cs="Arial" w:eastAsia="Arial" w:hAnsi="Arial"/>
                <w:sz w:val="13"/>
                <w:szCs w:val="13"/>
                <w:color w:val="auto"/>
              </w:rPr>
              <w:t>3 March 2019</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2022</w:t>
            </w: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3,200</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2021</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11,202</w:t>
            </w: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2023</w:t>
            </w: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3,581</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2019</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3,200</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20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3,201</w:t>
            </w:r>
          </w:p>
        </w:tc>
        <w:tc>
          <w:tcPr>
            <w:tcW w:w="17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3 March 2023</w:t>
            </w:r>
          </w:p>
        </w:tc>
        <w:tc>
          <w:tcPr>
            <w:tcW w:w="1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84"/>
        </w:trPr>
        <w:tc>
          <w:tcPr>
            <w:tcW w:w="20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9"/>
        </w:trPr>
        <w:tc>
          <w:tcPr>
            <w:tcW w:w="2060" w:type="dxa"/>
            <w:vAlign w:val="bottom"/>
          </w:tcPr>
          <w:p>
            <w:pPr>
              <w:ind w:left="20"/>
              <w:spacing w:after="0"/>
              <w:rPr>
                <w:sz w:val="20"/>
                <w:szCs w:val="20"/>
                <w:color w:val="auto"/>
              </w:rPr>
            </w:pPr>
            <w:r>
              <w:rPr>
                <w:rFonts w:ascii="Arial" w:cs="Arial" w:eastAsia="Arial" w:hAnsi="Arial"/>
                <w:sz w:val="13"/>
                <w:szCs w:val="13"/>
                <w:color w:val="auto"/>
              </w:rPr>
              <w:t>Brendan Brennan</w:t>
            </w: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1,010</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2018</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2021</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3,532</w:t>
            </w:r>
          </w:p>
        </w:tc>
        <w:tc>
          <w:tcPr>
            <w:tcW w:w="1760" w:type="dxa"/>
            <w:vAlign w:val="bottom"/>
          </w:tcPr>
          <w:p>
            <w:pPr>
              <w:jc w:val="right"/>
              <w:ind w:right="436"/>
              <w:spacing w:after="0"/>
              <w:rPr>
                <w:sz w:val="20"/>
                <w:szCs w:val="20"/>
                <w:color w:val="auto"/>
              </w:rPr>
            </w:pPr>
            <w:r>
              <w:rPr>
                <w:rFonts w:ascii="Arial" w:cs="Arial" w:eastAsia="Arial" w:hAnsi="Arial"/>
                <w:sz w:val="13"/>
                <w:szCs w:val="13"/>
                <w:color w:val="auto"/>
              </w:rPr>
              <w:t>3 March 2018</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2021</w:t>
            </w: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780</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2021</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2,731</w:t>
            </w: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2019</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2022</w:t>
            </w: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692</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2021</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2,425</w:t>
            </w:r>
          </w:p>
        </w:tc>
        <w:tc>
          <w:tcPr>
            <w:tcW w:w="1760" w:type="dxa"/>
            <w:vAlign w:val="bottom"/>
          </w:tcPr>
          <w:p>
            <w:pPr>
              <w:jc w:val="right"/>
              <w:ind w:right="436"/>
              <w:spacing w:after="0"/>
              <w:rPr>
                <w:sz w:val="20"/>
                <w:szCs w:val="20"/>
                <w:color w:val="auto"/>
              </w:rPr>
            </w:pPr>
            <w:r>
              <w:rPr>
                <w:rFonts w:ascii="Arial" w:cs="Arial" w:eastAsia="Arial" w:hAnsi="Arial"/>
                <w:sz w:val="13"/>
                <w:szCs w:val="13"/>
                <w:color w:val="auto"/>
              </w:rPr>
              <w:t>3 March 2020</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2023</w:t>
            </w: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781</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692</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06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694</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3 March 2023</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1,201</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2020</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22 May 2021</w:t>
            </w:r>
          </w:p>
        </w:tc>
        <w:tc>
          <w:tcPr>
            <w:tcW w:w="124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Hugh Brady</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1,201</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2020</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22 May 2021</w:t>
            </w:r>
          </w:p>
        </w:tc>
        <w:tc>
          <w:tcPr>
            <w:tcW w:w="124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1,201</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2020</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22 May 2021</w:t>
            </w:r>
          </w:p>
        </w:tc>
        <w:tc>
          <w:tcPr>
            <w:tcW w:w="124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1,201</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2020</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22 May 2021</w:t>
            </w:r>
          </w:p>
        </w:tc>
        <w:tc>
          <w:tcPr>
            <w:tcW w:w="124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William Hall</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1,201</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2020</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22 May 2021</w:t>
            </w:r>
          </w:p>
        </w:tc>
        <w:tc>
          <w:tcPr>
            <w:tcW w:w="124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1,201</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2020</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22 May 2021</w:t>
            </w:r>
          </w:p>
        </w:tc>
        <w:tc>
          <w:tcPr>
            <w:tcW w:w="124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1,201</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2020</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22 May 2021</w:t>
            </w:r>
          </w:p>
        </w:tc>
        <w:tc>
          <w:tcPr>
            <w:tcW w:w="124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1,201</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 May 2020</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22 May 2021</w:t>
            </w:r>
          </w:p>
        </w:tc>
        <w:tc>
          <w:tcPr>
            <w:tcW w:w="124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630</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2018</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2021</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2,199</w:t>
            </w: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2018</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2021</w:t>
            </w: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487</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2019</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2021</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1,707</w:t>
            </w:r>
          </w:p>
        </w:tc>
        <w:tc>
          <w:tcPr>
            <w:tcW w:w="1760" w:type="dxa"/>
            <w:vAlign w:val="bottom"/>
          </w:tcPr>
          <w:p>
            <w:pPr>
              <w:jc w:val="right"/>
              <w:ind w:right="436"/>
              <w:spacing w:after="0"/>
              <w:rPr>
                <w:sz w:val="20"/>
                <w:szCs w:val="20"/>
                <w:color w:val="auto"/>
              </w:rPr>
            </w:pPr>
            <w:r>
              <w:rPr>
                <w:rFonts w:ascii="Arial" w:cs="Arial" w:eastAsia="Arial" w:hAnsi="Arial"/>
                <w:sz w:val="13"/>
                <w:szCs w:val="13"/>
                <w:color w:val="auto"/>
              </w:rPr>
              <w:t>3 March 2019</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2022</w:t>
            </w: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432</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2021</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1,516</w:t>
            </w: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2023</w:t>
            </w: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489</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2019</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432</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20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435</w:t>
            </w:r>
          </w:p>
        </w:tc>
        <w:tc>
          <w:tcPr>
            <w:tcW w:w="17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3 March 2023</w:t>
            </w:r>
          </w:p>
        </w:tc>
        <w:tc>
          <w:tcPr>
            <w:tcW w:w="1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bl>
    <w:p>
      <w:pPr>
        <w:spacing w:after="0" w:line="66" w:lineRule="exact"/>
        <w:rPr>
          <w:sz w:val="20"/>
          <w:szCs w:val="20"/>
          <w:color w:val="auto"/>
        </w:rPr>
      </w:pPr>
    </w:p>
    <w:p>
      <w:pPr>
        <w:jc w:val="both"/>
        <w:ind w:left="260" w:hanging="255"/>
        <w:spacing w:after="0" w:line="227" w:lineRule="auto"/>
        <w:tabs>
          <w:tab w:leader="none" w:pos="254" w:val="left"/>
        </w:tabs>
        <w:numPr>
          <w:ilvl w:val="0"/>
          <w:numId w:val="73"/>
        </w:numPr>
        <w:rPr>
          <w:rFonts w:ascii="Arial" w:cs="Arial" w:eastAsia="Arial" w:hAnsi="Arial"/>
          <w:sz w:val="15"/>
          <w:szCs w:val="15"/>
          <w:color w:val="auto"/>
          <w:vertAlign w:val="superscript"/>
        </w:rPr>
      </w:pPr>
      <w:r>
        <w:rPr>
          <w:rFonts w:ascii="Arial" w:cs="Arial" w:eastAsia="Arial" w:hAnsi="Arial"/>
          <w:sz w:val="11"/>
          <w:szCs w:val="11"/>
          <w:i w:val="1"/>
          <w:iCs w:val="1"/>
          <w:color w:val="auto"/>
        </w:rPr>
        <w:t>Of the issued PSUs, performance conditions will determine how many of them vest and, if performance targets are exceeded, additional PSUs will be issued and vest in accordance with the terms of the relevant PSU award. The PSUs vest based on service and specified EPS targets over the periods 2018 – 2020, 2019 – 2021 and 2020 – 2022. Depending on the actual amount of EPS from 2017 to 2021, up to a maximum of 52,888 additional PSUs may also be granted to Dr. Steve Cutler, Mr. Brendan Brennan and Mr. Diarmaid Cunningham.</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696"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Details of transactions entered into by the Directors, Executive Officers and Company Secretary in shares and share options of the Company during the year ended 31 December 2020 were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options exercised and sold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80" w:type="dxa"/>
            <w:vAlign w:val="bottom"/>
            <w:shd w:val="clear" w:color="auto" w:fill="CCEEFF"/>
          </w:tcPr>
          <w:p>
            <w:pPr>
              <w:spacing w:after="0"/>
              <w:rPr>
                <w:sz w:val="13"/>
                <w:szCs w:val="13"/>
                <w:color w:val="auto"/>
              </w:rPr>
            </w:pPr>
          </w:p>
        </w:tc>
        <w:tc>
          <w:tcPr>
            <w:tcW w:w="4360" w:type="dxa"/>
            <w:vAlign w:val="bottom"/>
            <w:shd w:val="clear" w:color="auto" w:fill="CCEEFF"/>
          </w:tcPr>
          <w:p>
            <w:pPr>
              <w:spacing w:after="0"/>
              <w:rPr>
                <w:sz w:val="13"/>
                <w:szCs w:val="13"/>
                <w:color w:val="auto"/>
              </w:rPr>
            </w:pPr>
          </w:p>
        </w:tc>
        <w:tc>
          <w:tcPr>
            <w:tcW w:w="18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Average</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49"/>
        </w:trPr>
        <w:tc>
          <w:tcPr>
            <w:tcW w:w="358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360" w:type="dxa"/>
            <w:vAlign w:val="bottom"/>
            <w:vMerge w:val="restart"/>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Number of Share Options</w:t>
            </w:r>
          </w:p>
        </w:tc>
        <w:tc>
          <w:tcPr>
            <w:tcW w:w="18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exercise</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Vest</w:t>
            </w:r>
          </w:p>
        </w:tc>
        <w:tc>
          <w:tcPr>
            <w:tcW w:w="0" w:type="dxa"/>
            <w:vAlign w:val="bottom"/>
          </w:tcPr>
          <w:p>
            <w:pPr>
              <w:spacing w:after="0"/>
              <w:rPr>
                <w:sz w:val="1"/>
                <w:szCs w:val="1"/>
                <w:color w:val="auto"/>
              </w:rPr>
            </w:pPr>
          </w:p>
        </w:tc>
      </w:tr>
      <w:tr>
        <w:trPr>
          <w:trHeight w:val="63"/>
        </w:trPr>
        <w:tc>
          <w:tcPr>
            <w:tcW w:w="3580" w:type="dxa"/>
            <w:vAlign w:val="bottom"/>
            <w:vMerge w:val="continue"/>
            <w:shd w:val="clear" w:color="auto" w:fill="CCEEFF"/>
          </w:tcPr>
          <w:p>
            <w:pPr>
              <w:spacing w:after="0"/>
              <w:rPr>
                <w:sz w:val="5"/>
                <w:szCs w:val="5"/>
                <w:color w:val="auto"/>
              </w:rPr>
            </w:pPr>
          </w:p>
        </w:tc>
        <w:tc>
          <w:tcPr>
            <w:tcW w:w="4360" w:type="dxa"/>
            <w:vAlign w:val="bottom"/>
            <w:vMerge w:val="continue"/>
            <w:shd w:val="clear" w:color="auto" w:fill="CCEEFF"/>
          </w:tcPr>
          <w:p>
            <w:pPr>
              <w:spacing w:after="0"/>
              <w:rPr>
                <w:sz w:val="5"/>
                <w:szCs w:val="5"/>
                <w:color w:val="auto"/>
              </w:rPr>
            </w:pPr>
          </w:p>
        </w:tc>
        <w:tc>
          <w:tcPr>
            <w:tcW w:w="1880" w:type="dxa"/>
            <w:vAlign w:val="bottom"/>
            <w:vMerge w:val="restart"/>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price</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14"/>
        </w:trPr>
        <w:tc>
          <w:tcPr>
            <w:tcW w:w="3580" w:type="dxa"/>
            <w:vAlign w:val="bottom"/>
            <w:tcBorders>
              <w:bottom w:val="single" w:sz="8" w:color="auto"/>
            </w:tcBorders>
            <w:shd w:val="clear" w:color="auto" w:fill="CCEEFF"/>
          </w:tcPr>
          <w:p>
            <w:pPr>
              <w:spacing w:after="0"/>
              <w:rPr>
                <w:sz w:val="9"/>
                <w:szCs w:val="9"/>
                <w:color w:val="auto"/>
              </w:rPr>
            </w:pPr>
          </w:p>
        </w:tc>
        <w:tc>
          <w:tcPr>
            <w:tcW w:w="436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vMerge w:val="continue"/>
            <w:shd w:val="clear" w:color="auto" w:fill="CCEEFF"/>
          </w:tcPr>
          <w:p>
            <w:pPr>
              <w:spacing w:after="0"/>
              <w:rPr>
                <w:sz w:val="9"/>
                <w:szCs w:val="9"/>
                <w:color w:val="auto"/>
              </w:rPr>
            </w:pPr>
          </w:p>
        </w:tc>
        <w:tc>
          <w:tcPr>
            <w:tcW w:w="144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43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55,929</w:t>
            </w: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$88.41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$186.73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43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26,098</w:t>
            </w: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$46.57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$194.96</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Rónán Murphy</w:t>
            </w:r>
          </w:p>
        </w:tc>
        <w:tc>
          <w:tcPr>
            <w:tcW w:w="43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1,538</w:t>
            </w: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$90.03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$188.32</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Hugh Brady</w:t>
            </w:r>
          </w:p>
        </w:tc>
        <w:tc>
          <w:tcPr>
            <w:tcW w:w="43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5,649</w:t>
            </w: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$73.24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$189.33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William Hall</w:t>
            </w:r>
          </w:p>
        </w:tc>
        <w:tc>
          <w:tcPr>
            <w:tcW w:w="43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5,649</w:t>
            </w: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$73.24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$180.50</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43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19,708</w:t>
            </w: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$78.01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$186.03</w:t>
            </w:r>
          </w:p>
        </w:tc>
        <w:tc>
          <w:tcPr>
            <w:tcW w:w="0" w:type="dxa"/>
            <w:vAlign w:val="bottom"/>
          </w:tcPr>
          <w:p>
            <w:pPr>
              <w:spacing w:after="0"/>
              <w:rPr>
                <w:sz w:val="1"/>
                <w:szCs w:val="1"/>
                <w:color w:val="auto"/>
              </w:rPr>
            </w:pPr>
          </w:p>
        </w:tc>
      </w:tr>
      <w:tr>
        <w:trPr>
          <w:trHeight w:val="413"/>
        </w:trPr>
        <w:tc>
          <w:tcPr>
            <w:tcW w:w="3580" w:type="dxa"/>
            <w:vAlign w:val="bottom"/>
          </w:tcPr>
          <w:p>
            <w:pPr>
              <w:spacing w:after="0"/>
              <w:rPr>
                <w:sz w:val="20"/>
                <w:szCs w:val="20"/>
                <w:color w:val="auto"/>
              </w:rPr>
            </w:pPr>
            <w:r>
              <w:rPr>
                <w:rFonts w:ascii="Arial" w:cs="Arial" w:eastAsia="Arial" w:hAnsi="Arial"/>
                <w:sz w:val="13"/>
                <w:szCs w:val="13"/>
                <w:b w:val="1"/>
                <w:bCs w:val="1"/>
                <w:color w:val="auto"/>
              </w:rPr>
              <w:t>Share options exercised</w:t>
            </w:r>
          </w:p>
        </w:tc>
        <w:tc>
          <w:tcPr>
            <w:tcW w:w="4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58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1880" w:type="dxa"/>
            <w:vAlign w:val="bottom"/>
            <w:shd w:val="clear" w:color="auto" w:fill="CCEEFF"/>
          </w:tcPr>
          <w:p>
            <w:pPr>
              <w:jc w:val="right"/>
              <w:ind w:right="556"/>
              <w:spacing w:after="0" w:line="128" w:lineRule="exact"/>
              <w:rPr>
                <w:sz w:val="20"/>
                <w:szCs w:val="20"/>
                <w:color w:val="auto"/>
              </w:rPr>
            </w:pPr>
            <w:r>
              <w:rPr>
                <w:rFonts w:ascii="Arial" w:cs="Arial" w:eastAsia="Arial" w:hAnsi="Arial"/>
                <w:sz w:val="13"/>
                <w:szCs w:val="13"/>
                <w:b w:val="1"/>
                <w:bCs w:val="1"/>
                <w:color w:val="auto"/>
              </w:rPr>
              <w:t>Number</w:t>
            </w:r>
          </w:p>
        </w:tc>
        <w:tc>
          <w:tcPr>
            <w:tcW w:w="14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Average Sales</w:t>
            </w:r>
          </w:p>
        </w:tc>
        <w:tc>
          <w:tcPr>
            <w:tcW w:w="0" w:type="dxa"/>
            <w:vAlign w:val="bottom"/>
          </w:tcPr>
          <w:p>
            <w:pPr>
              <w:spacing w:after="0"/>
              <w:rPr>
                <w:sz w:val="1"/>
                <w:szCs w:val="1"/>
                <w:color w:val="auto"/>
              </w:rPr>
            </w:pPr>
          </w:p>
        </w:tc>
      </w:tr>
      <w:tr>
        <w:trPr>
          <w:trHeight w:val="169"/>
        </w:trPr>
        <w:tc>
          <w:tcPr>
            <w:tcW w:w="358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of Shares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2,000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$22.30</w:t>
            </w:r>
          </w:p>
        </w:tc>
        <w:tc>
          <w:tcPr>
            <w:tcW w:w="0" w:type="dxa"/>
            <w:vAlign w:val="bottom"/>
          </w:tcPr>
          <w:p>
            <w:pPr>
              <w:spacing w:after="0"/>
              <w:rPr>
                <w:sz w:val="1"/>
                <w:szCs w:val="1"/>
                <w:color w:val="auto"/>
              </w:rPr>
            </w:pPr>
          </w:p>
        </w:tc>
      </w:tr>
      <w:tr>
        <w:trPr>
          <w:trHeight w:val="402"/>
        </w:trPr>
        <w:tc>
          <w:tcPr>
            <w:tcW w:w="3580" w:type="dxa"/>
            <w:vAlign w:val="bottom"/>
          </w:tcPr>
          <w:p>
            <w:pPr>
              <w:spacing w:after="0"/>
              <w:rPr>
                <w:sz w:val="20"/>
                <w:szCs w:val="20"/>
                <w:color w:val="auto"/>
              </w:rPr>
            </w:pPr>
            <w:r>
              <w:rPr>
                <w:rFonts w:ascii="Arial" w:cs="Arial" w:eastAsia="Arial" w:hAnsi="Arial"/>
                <w:sz w:val="13"/>
                <w:szCs w:val="13"/>
                <w:b w:val="1"/>
                <w:bCs w:val="1"/>
                <w:color w:val="auto"/>
              </w:rPr>
              <w:t>Shares sold</w:t>
            </w:r>
          </w:p>
        </w:tc>
        <w:tc>
          <w:tcPr>
            <w:tcW w:w="4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58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1880" w:type="dxa"/>
            <w:vAlign w:val="bottom"/>
            <w:shd w:val="clear" w:color="auto" w:fill="CCEEFF"/>
          </w:tcPr>
          <w:p>
            <w:pPr>
              <w:jc w:val="right"/>
              <w:ind w:right="556"/>
              <w:spacing w:after="0" w:line="128" w:lineRule="exact"/>
              <w:rPr>
                <w:sz w:val="20"/>
                <w:szCs w:val="20"/>
                <w:color w:val="auto"/>
              </w:rPr>
            </w:pPr>
            <w:r>
              <w:rPr>
                <w:rFonts w:ascii="Arial" w:cs="Arial" w:eastAsia="Arial" w:hAnsi="Arial"/>
                <w:sz w:val="13"/>
                <w:szCs w:val="13"/>
                <w:b w:val="1"/>
                <w:bCs w:val="1"/>
                <w:color w:val="auto"/>
              </w:rPr>
              <w:t>Number</w:t>
            </w:r>
          </w:p>
        </w:tc>
        <w:tc>
          <w:tcPr>
            <w:tcW w:w="14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Average Sales</w:t>
            </w:r>
          </w:p>
        </w:tc>
        <w:tc>
          <w:tcPr>
            <w:tcW w:w="0" w:type="dxa"/>
            <w:vAlign w:val="bottom"/>
          </w:tcPr>
          <w:p>
            <w:pPr>
              <w:spacing w:after="0"/>
              <w:rPr>
                <w:sz w:val="1"/>
                <w:szCs w:val="1"/>
                <w:color w:val="auto"/>
              </w:rPr>
            </w:pPr>
          </w:p>
        </w:tc>
      </w:tr>
      <w:tr>
        <w:trPr>
          <w:trHeight w:val="169"/>
        </w:trPr>
        <w:tc>
          <w:tcPr>
            <w:tcW w:w="358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of Shares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50,000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$197.15</w:t>
            </w:r>
          </w:p>
        </w:tc>
        <w:tc>
          <w:tcPr>
            <w:tcW w:w="0" w:type="dxa"/>
            <w:vAlign w:val="bottom"/>
          </w:tcPr>
          <w:p>
            <w:pPr>
              <w:spacing w:after="0"/>
              <w:rPr>
                <w:sz w:val="1"/>
                <w:szCs w:val="1"/>
                <w:color w:val="auto"/>
              </w:rPr>
            </w:pPr>
          </w:p>
        </w:tc>
      </w:tr>
      <w:tr>
        <w:trPr>
          <w:trHeight w:val="413"/>
        </w:trPr>
        <w:tc>
          <w:tcPr>
            <w:tcW w:w="3580" w:type="dxa"/>
            <w:vAlign w:val="bottom"/>
          </w:tcPr>
          <w:p>
            <w:pPr>
              <w:spacing w:after="0"/>
              <w:rPr>
                <w:sz w:val="20"/>
                <w:szCs w:val="20"/>
                <w:color w:val="auto"/>
              </w:rPr>
            </w:pPr>
            <w:r>
              <w:rPr>
                <w:rFonts w:ascii="Arial" w:cs="Arial" w:eastAsia="Arial" w:hAnsi="Arial"/>
                <w:sz w:val="13"/>
                <w:szCs w:val="13"/>
                <w:b w:val="1"/>
                <w:bCs w:val="1"/>
                <w:color w:val="auto"/>
              </w:rPr>
              <w:t>RSUs vested</w:t>
            </w:r>
          </w:p>
        </w:tc>
        <w:tc>
          <w:tcPr>
            <w:tcW w:w="4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3580" w:type="dxa"/>
            <w:vAlign w:val="bottom"/>
          </w:tcPr>
          <w:p>
            <w:pPr>
              <w:spacing w:after="0"/>
              <w:rPr>
                <w:sz w:val="6"/>
                <w:szCs w:val="6"/>
                <w:color w:val="auto"/>
              </w:rPr>
            </w:pPr>
          </w:p>
        </w:tc>
        <w:tc>
          <w:tcPr>
            <w:tcW w:w="43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358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Number</w:t>
            </w:r>
          </w:p>
        </w:tc>
        <w:tc>
          <w:tcPr>
            <w:tcW w:w="14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358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1880" w:type="dxa"/>
            <w:vAlign w:val="bottom"/>
            <w:vMerge w:val="continue"/>
            <w:shd w:val="clear" w:color="auto" w:fill="CCEEFF"/>
          </w:tcPr>
          <w:p>
            <w:pPr>
              <w:spacing w:after="0"/>
              <w:rPr>
                <w:sz w:val="11"/>
                <w:szCs w:val="11"/>
                <w:color w:val="auto"/>
              </w:rPr>
            </w:pPr>
          </w:p>
        </w:tc>
        <w:tc>
          <w:tcPr>
            <w:tcW w:w="14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Vest</w:t>
            </w:r>
          </w:p>
        </w:tc>
        <w:tc>
          <w:tcPr>
            <w:tcW w:w="0" w:type="dxa"/>
            <w:vAlign w:val="bottom"/>
          </w:tcPr>
          <w:p>
            <w:pPr>
              <w:spacing w:after="0"/>
              <w:rPr>
                <w:sz w:val="1"/>
                <w:szCs w:val="1"/>
                <w:color w:val="auto"/>
              </w:rPr>
            </w:pPr>
          </w:p>
        </w:tc>
      </w:tr>
      <w:tr>
        <w:trPr>
          <w:trHeight w:val="169"/>
        </w:trPr>
        <w:tc>
          <w:tcPr>
            <w:tcW w:w="358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of Shares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43,866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$159.33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9,919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$159.33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1,454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$157.03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$157.03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Hugh Brady</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1,454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$157.03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John Climax</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$157.03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1,454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$157.03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William Hall</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$157.03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1,454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$157.03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1,066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$157.03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Mary Pendergast</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1,454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$157.03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6,971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60"/>
          </w:cols>
          <w:pgMar w:left="300" w:top="696"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right="8640" w:firstLine="5"/>
        <w:spacing w:after="0" w:line="650" w:lineRule="auto"/>
        <w:tabs>
          <w:tab w:leader="none" w:pos="248"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 Shares (vested RSUs) sold</w:t>
      </w:r>
    </w:p>
    <w:tbl>
      <w:tblPr>
        <w:tblLayout w:type="fixed"/>
        <w:tblInd w:w="0" w:type="dxa"/>
        <w:tblCellMar>
          <w:top w:w="0" w:type="dxa"/>
          <w:left w:w="0" w:type="dxa"/>
          <w:bottom w:w="0" w:type="dxa"/>
          <w:right w:w="0" w:type="dxa"/>
        </w:tblCellMar>
      </w:tblPr>
      <w:tr>
        <w:trPr>
          <w:trHeight w:val="128"/>
        </w:trPr>
        <w:tc>
          <w:tcPr>
            <w:tcW w:w="4980" w:type="dxa"/>
            <w:vAlign w:val="bottom"/>
            <w:shd w:val="clear" w:color="auto" w:fill="CCEEFF"/>
          </w:tcPr>
          <w:p>
            <w:pPr>
              <w:spacing w:after="0"/>
              <w:rPr>
                <w:sz w:val="11"/>
                <w:szCs w:val="11"/>
                <w:color w:val="auto"/>
              </w:rPr>
            </w:pPr>
          </w:p>
        </w:tc>
        <w:tc>
          <w:tcPr>
            <w:tcW w:w="5000" w:type="dxa"/>
            <w:vAlign w:val="bottom"/>
            <w:vMerge w:val="restart"/>
            <w:shd w:val="clear" w:color="auto" w:fill="CCEEFF"/>
          </w:tcPr>
          <w:p>
            <w:pPr>
              <w:jc w:val="right"/>
              <w:ind w:right="716"/>
              <w:spacing w:after="0"/>
              <w:rPr>
                <w:sz w:val="20"/>
                <w:szCs w:val="20"/>
                <w:color w:val="auto"/>
              </w:rPr>
            </w:pPr>
            <w:r>
              <w:rPr>
                <w:rFonts w:ascii="Arial" w:cs="Arial" w:eastAsia="Arial" w:hAnsi="Arial"/>
                <w:sz w:val="13"/>
                <w:szCs w:val="13"/>
                <w:b w:val="1"/>
                <w:bCs w:val="1"/>
                <w:color w:val="auto"/>
              </w:rPr>
              <w:t>Number</w:t>
            </w:r>
          </w:p>
        </w:tc>
        <w:tc>
          <w:tcPr>
            <w:tcW w:w="1280" w:type="dxa"/>
            <w:vAlign w:val="bottom"/>
            <w:shd w:val="clear" w:color="auto" w:fill="CCEEFF"/>
          </w:tcPr>
          <w:p>
            <w:pPr>
              <w:jc w:val="center"/>
              <w:ind w:left="636"/>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7"/>
        </w:trPr>
        <w:tc>
          <w:tcPr>
            <w:tcW w:w="4980" w:type="dxa"/>
            <w:vAlign w:val="bottom"/>
            <w:shd w:val="clear" w:color="auto" w:fill="CCEEFF"/>
          </w:tcPr>
          <w:p>
            <w:pPr>
              <w:spacing w:after="0"/>
              <w:rPr>
                <w:sz w:val="11"/>
                <w:szCs w:val="11"/>
                <w:color w:val="auto"/>
              </w:rPr>
            </w:pPr>
          </w:p>
        </w:tc>
        <w:tc>
          <w:tcPr>
            <w:tcW w:w="500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ind w:left="900"/>
              <w:spacing w:after="0" w:line="128" w:lineRule="exact"/>
              <w:rPr>
                <w:sz w:val="20"/>
                <w:szCs w:val="20"/>
                <w:color w:val="auto"/>
              </w:rPr>
            </w:pPr>
            <w:r>
              <w:rPr>
                <w:rFonts w:ascii="Arial" w:cs="Arial" w:eastAsia="Arial" w:hAnsi="Arial"/>
                <w:sz w:val="13"/>
                <w:szCs w:val="13"/>
                <w:b w:val="1"/>
                <w:bCs w:val="1"/>
                <w:color w:val="auto"/>
              </w:rPr>
              <w:t>Sales</w:t>
            </w:r>
          </w:p>
        </w:tc>
        <w:tc>
          <w:tcPr>
            <w:tcW w:w="0" w:type="dxa"/>
            <w:vAlign w:val="bottom"/>
          </w:tcPr>
          <w:p>
            <w:pPr>
              <w:spacing w:after="0"/>
              <w:rPr>
                <w:sz w:val="1"/>
                <w:szCs w:val="1"/>
                <w:color w:val="auto"/>
              </w:rPr>
            </w:pPr>
          </w:p>
        </w:tc>
      </w:tr>
      <w:tr>
        <w:trPr>
          <w:trHeight w:val="169"/>
        </w:trPr>
        <w:tc>
          <w:tcPr>
            <w:tcW w:w="498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of Shares</w:t>
            </w:r>
          </w:p>
        </w:tc>
        <w:tc>
          <w:tcPr>
            <w:tcW w:w="12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158"/>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47,951</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$179.88</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5,087</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$161.85</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744</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$160.52</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744</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$161.07</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Hugh Brady</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1,454</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$173.47</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John Climax</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687</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$160.91</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744</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$161.05</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William Hall</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1,454</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$173.67</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744</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$161.32</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546</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$161.35</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Mary Pendergast</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687</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$160.78</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3,582</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$161.36</w:t>
            </w: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The market price of the Company’s ordinary shares during the year ended 31 December 2020 moved in the range of $115.95 to $214.08 (year ended 31 December 2019: in the range of $121.30 to</w:t>
      </w:r>
    </w:p>
    <w:p>
      <w:pPr>
        <w:spacing w:after="0"/>
        <w:rPr>
          <w:sz w:val="20"/>
          <w:szCs w:val="20"/>
          <w:color w:val="auto"/>
        </w:rPr>
      </w:pPr>
      <w:r>
        <w:rPr>
          <w:rFonts w:ascii="Arial" w:cs="Arial" w:eastAsia="Arial" w:hAnsi="Arial"/>
          <w:sz w:val="13"/>
          <w:szCs w:val="13"/>
          <w:color w:val="auto"/>
        </w:rPr>
        <w:t>$172.23). The closing share price at 31 December 2020 was $194.98 (at 31 December 2019: $172.23).</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compensation table - Year ended 31 December 2020</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340" w:type="dxa"/>
            <w:vAlign w:val="bottom"/>
            <w:tcBorders>
              <w:top w:val="single" w:sz="8" w:color="auto"/>
              <w:left w:val="single" w:sz="8" w:color="auto"/>
              <w:right w:val="single" w:sz="8" w:color="auto"/>
            </w:tcBorders>
            <w:shd w:val="clear" w:color="auto" w:fill="CCEEFF"/>
          </w:tcPr>
          <w:p>
            <w:pPr>
              <w:spacing w:after="0"/>
              <w:rPr>
                <w:sz w:val="11"/>
                <w:szCs w:val="11"/>
                <w:color w:val="auto"/>
              </w:rPr>
            </w:pPr>
          </w:p>
        </w:tc>
        <w:tc>
          <w:tcPr>
            <w:tcW w:w="620" w:type="dxa"/>
            <w:vAlign w:val="bottom"/>
            <w:tcBorders>
              <w:top w:val="single" w:sz="8" w:color="auto"/>
              <w:right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shd w:val="clear" w:color="auto" w:fill="CCEEFF"/>
          </w:tcPr>
          <w:p>
            <w:pPr>
              <w:spacing w:after="0"/>
              <w:rPr>
                <w:sz w:val="11"/>
                <w:szCs w:val="11"/>
                <w:color w:val="auto"/>
              </w:rPr>
            </w:pPr>
          </w:p>
        </w:tc>
        <w:tc>
          <w:tcPr>
            <w:tcW w:w="940" w:type="dxa"/>
            <w:vAlign w:val="bottom"/>
            <w:tcBorders>
              <w:top w:val="single" w:sz="8" w:color="auto"/>
              <w:right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shd w:val="clear" w:color="auto" w:fill="CCEEFF"/>
          </w:tcPr>
          <w:p>
            <w:pPr>
              <w:spacing w:after="0"/>
              <w:rPr>
                <w:sz w:val="11"/>
                <w:szCs w:val="11"/>
                <w:color w:val="auto"/>
              </w:rPr>
            </w:pPr>
          </w:p>
        </w:tc>
        <w:tc>
          <w:tcPr>
            <w:tcW w:w="1400" w:type="dxa"/>
            <w:vAlign w:val="bottom"/>
            <w:tcBorders>
              <w:top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Borders>
              <w:left w:val="single" w:sz="8" w:color="auto"/>
              <w:right w:val="single" w:sz="8" w:color="auto"/>
            </w:tcBorders>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pension contribution</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13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right w:val="single" w:sz="8" w:color="auto"/>
            </w:tcBorders>
            <w:shd w:val="clear" w:color="auto" w:fill="CCEEFF"/>
          </w:tcPr>
          <w:p>
            <w:pPr>
              <w:spacing w:after="0"/>
              <w:rPr>
                <w:sz w:val="11"/>
                <w:szCs w:val="11"/>
                <w:color w:val="auto"/>
              </w:rPr>
            </w:pPr>
          </w:p>
        </w:tc>
        <w:tc>
          <w:tcPr>
            <w:tcW w:w="1140" w:type="dxa"/>
            <w:vAlign w:val="bottom"/>
            <w:vMerge w:val="restart"/>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payments</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4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13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340" w:type="dxa"/>
            <w:vAlign w:val="bottom"/>
            <w:vMerge w:val="continue"/>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60" w:type="dxa"/>
            <w:vAlign w:val="bottom"/>
            <w:tcBorders>
              <w:right w:val="single" w:sz="8" w:color="auto"/>
            </w:tcBorders>
            <w:vMerge w:val="continue"/>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vMerge w:val="continue"/>
            <w:shd w:val="clear" w:color="auto" w:fill="CCEEFF"/>
          </w:tcPr>
          <w:p>
            <w:pPr>
              <w:spacing w:after="0" w:line="20" w:lineRule="exact"/>
              <w:rPr>
                <w:sz w:val="1"/>
                <w:szCs w:val="1"/>
                <w:color w:val="auto"/>
              </w:rPr>
            </w:pPr>
          </w:p>
        </w:tc>
        <w:tc>
          <w:tcPr>
            <w:tcW w:w="980" w:type="dxa"/>
            <w:vAlign w:val="bottom"/>
            <w:tcBorders>
              <w:right w:val="single" w:sz="8" w:color="auto"/>
            </w:tcBorders>
            <w:vMerge w:val="continue"/>
            <w:shd w:val="clear" w:color="auto" w:fill="CCEEFF"/>
          </w:tcPr>
          <w:p>
            <w:pPr>
              <w:spacing w:after="0" w:line="20" w:lineRule="exact"/>
              <w:rPr>
                <w:sz w:val="1"/>
                <w:szCs w:val="1"/>
                <w:color w:val="auto"/>
              </w:rPr>
            </w:pPr>
          </w:p>
        </w:tc>
        <w:tc>
          <w:tcPr>
            <w:tcW w:w="1400" w:type="dxa"/>
            <w:vAlign w:val="bottom"/>
            <w:tcBorders>
              <w:right w:val="single" w:sz="8" w:color="auto"/>
            </w:tcBorders>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1340" w:type="dxa"/>
            <w:vAlign w:val="bottom"/>
            <w:tcBorders>
              <w:left w:val="single" w:sz="8" w:color="auto"/>
              <w:right w:val="single" w:sz="8" w:color="auto"/>
            </w:tcBorders>
            <w:shd w:val="clear" w:color="auto" w:fill="CCEEFF"/>
          </w:tcPr>
          <w:p>
            <w:pPr>
              <w:spacing w:after="0"/>
              <w:rPr>
                <w:sz w:val="4"/>
                <w:szCs w:val="4"/>
                <w:color w:val="auto"/>
              </w:rPr>
            </w:pPr>
          </w:p>
        </w:tc>
        <w:tc>
          <w:tcPr>
            <w:tcW w:w="620" w:type="dxa"/>
            <w:vAlign w:val="bottom"/>
            <w:tcBorders>
              <w:right w:val="single" w:sz="8" w:color="auto"/>
            </w:tcBorders>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360" w:type="dxa"/>
            <w:vAlign w:val="bottom"/>
            <w:tcBorders>
              <w:right w:val="single" w:sz="8" w:color="auto"/>
            </w:tcBorders>
            <w:vMerge w:val="continue"/>
            <w:shd w:val="clear" w:color="auto" w:fill="CCEEFF"/>
          </w:tcPr>
          <w:p>
            <w:pPr>
              <w:spacing w:after="0"/>
              <w:rPr>
                <w:sz w:val="4"/>
                <w:szCs w:val="4"/>
                <w:color w:val="auto"/>
              </w:rPr>
            </w:pPr>
          </w:p>
        </w:tc>
        <w:tc>
          <w:tcPr>
            <w:tcW w:w="940" w:type="dxa"/>
            <w:vAlign w:val="bottom"/>
            <w:tcBorders>
              <w:right w:val="single" w:sz="8" w:color="auto"/>
            </w:tcBorders>
            <w:shd w:val="clear" w:color="auto" w:fill="CCEEFF"/>
          </w:tcPr>
          <w:p>
            <w:pPr>
              <w:spacing w:after="0"/>
              <w:rPr>
                <w:sz w:val="4"/>
                <w:szCs w:val="4"/>
                <w:color w:val="auto"/>
              </w:rPr>
            </w:pPr>
          </w:p>
        </w:tc>
        <w:tc>
          <w:tcPr>
            <w:tcW w:w="1140" w:type="dxa"/>
            <w:vAlign w:val="bottom"/>
            <w:vMerge w:val="restart"/>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w:t>
            </w:r>
          </w:p>
        </w:tc>
        <w:tc>
          <w:tcPr>
            <w:tcW w:w="980" w:type="dxa"/>
            <w:vAlign w:val="bottom"/>
            <w:tcBorders>
              <w:right w:val="single" w:sz="8" w:color="auto"/>
            </w:tcBorders>
            <w:vMerge w:val="continue"/>
            <w:shd w:val="clear" w:color="auto" w:fill="CCEEFF"/>
          </w:tcPr>
          <w:p>
            <w:pPr>
              <w:spacing w:after="0"/>
              <w:rPr>
                <w:sz w:val="4"/>
                <w:szCs w:val="4"/>
                <w:color w:val="auto"/>
              </w:rPr>
            </w:pPr>
          </w:p>
        </w:tc>
        <w:tc>
          <w:tcPr>
            <w:tcW w:w="1400" w:type="dxa"/>
            <w:vAlign w:val="bottom"/>
            <w:tcBorders>
              <w:right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340" w:type="dxa"/>
            <w:vAlign w:val="bottom"/>
            <w:tcBorders>
              <w:left w:val="single" w:sz="8" w:color="auto"/>
              <w:right w:val="single" w:sz="8" w:color="auto"/>
            </w:tcBorders>
            <w:vMerge w:val="restart"/>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1"/>
                <w:szCs w:val="11"/>
                <w:b w:val="1"/>
                <w:bCs w:val="1"/>
                <w:color w:val="auto"/>
              </w:rPr>
              <w:t>Salary</w:t>
            </w:r>
          </w:p>
        </w:tc>
        <w:tc>
          <w:tcPr>
            <w:tcW w:w="13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360" w:type="dxa"/>
            <w:vAlign w:val="bottom"/>
            <w:tcBorders>
              <w:right w:val="single" w:sz="8" w:color="auto"/>
            </w:tcBorders>
            <w:shd w:val="clear" w:color="auto" w:fill="CCEEFF"/>
          </w:tcPr>
          <w:p>
            <w:pPr>
              <w:spacing w:after="0"/>
              <w:rPr>
                <w:sz w:val="8"/>
                <w:szCs w:val="8"/>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vMerge w:val="continue"/>
            <w:shd w:val="clear" w:color="auto" w:fill="CCEEFF"/>
          </w:tcPr>
          <w:p>
            <w:pPr>
              <w:spacing w:after="0"/>
              <w:rPr>
                <w:sz w:val="8"/>
                <w:szCs w:val="8"/>
                <w:color w:val="auto"/>
              </w:rPr>
            </w:pPr>
          </w:p>
        </w:tc>
        <w:tc>
          <w:tcPr>
            <w:tcW w:w="980" w:type="dxa"/>
            <w:vAlign w:val="bottom"/>
            <w:tcBorders>
              <w:right w:val="single" w:sz="8" w:color="auto"/>
            </w:tcBorders>
            <w:shd w:val="clear" w:color="auto" w:fill="CCEEFF"/>
          </w:tcPr>
          <w:p>
            <w:pPr>
              <w:spacing w:after="0"/>
              <w:rPr>
                <w:sz w:val="8"/>
                <w:szCs w:val="8"/>
                <w:color w:val="auto"/>
              </w:rPr>
            </w:pPr>
          </w:p>
        </w:tc>
        <w:tc>
          <w:tcPr>
            <w:tcW w:w="14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53"/>
        </w:trPr>
        <w:tc>
          <w:tcPr>
            <w:tcW w:w="1340" w:type="dxa"/>
            <w:vAlign w:val="bottom"/>
            <w:tcBorders>
              <w:left w:val="single" w:sz="8" w:color="auto"/>
              <w:right w:val="single" w:sz="8" w:color="auto"/>
            </w:tcBorders>
            <w:vMerge w:val="continue"/>
            <w:shd w:val="clear" w:color="auto" w:fill="CCEEFF"/>
          </w:tcPr>
          <w:p>
            <w:pPr>
              <w:spacing w:after="0"/>
              <w:rPr>
                <w:sz w:val="4"/>
                <w:szCs w:val="4"/>
                <w:color w:val="auto"/>
              </w:rPr>
            </w:pPr>
          </w:p>
        </w:tc>
        <w:tc>
          <w:tcPr>
            <w:tcW w:w="620" w:type="dxa"/>
            <w:vAlign w:val="bottom"/>
            <w:tcBorders>
              <w:right w:val="single" w:sz="8" w:color="auto"/>
            </w:tcBorders>
            <w:vMerge w:val="continue"/>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360" w:type="dxa"/>
            <w:vAlign w:val="bottom"/>
            <w:tcBorders>
              <w:right w:val="single" w:sz="8" w:color="auto"/>
            </w:tcBorders>
            <w:shd w:val="clear" w:color="auto" w:fill="CCEEFF"/>
          </w:tcPr>
          <w:p>
            <w:pPr>
              <w:spacing w:after="0"/>
              <w:rPr>
                <w:sz w:val="4"/>
                <w:szCs w:val="4"/>
                <w:color w:val="auto"/>
              </w:rPr>
            </w:pPr>
          </w:p>
        </w:tc>
        <w:tc>
          <w:tcPr>
            <w:tcW w:w="940" w:type="dxa"/>
            <w:vAlign w:val="bottom"/>
            <w:tcBorders>
              <w:right w:val="single" w:sz="8" w:color="auto"/>
            </w:tcBorders>
            <w:vMerge w:val="continue"/>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980" w:type="dxa"/>
            <w:vAlign w:val="bottom"/>
            <w:tcBorders>
              <w:right w:val="single" w:sz="8" w:color="auto"/>
            </w:tcBorders>
            <w:shd w:val="clear" w:color="auto" w:fill="CCEEFF"/>
          </w:tcPr>
          <w:p>
            <w:pPr>
              <w:spacing w:after="0"/>
              <w:rPr>
                <w:sz w:val="4"/>
                <w:szCs w:val="4"/>
                <w:color w:val="auto"/>
              </w:rPr>
            </w:pPr>
          </w:p>
        </w:tc>
        <w:tc>
          <w:tcPr>
            <w:tcW w:w="1400" w:type="dxa"/>
            <w:vAlign w:val="bottom"/>
            <w:tcBorders>
              <w:right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340" w:type="dxa"/>
            <w:vAlign w:val="bottom"/>
            <w:tcBorders>
              <w:left w:val="single" w:sz="8" w:color="auto"/>
              <w:right w:val="single" w:sz="8" w:color="auto"/>
            </w:tcBorders>
            <w:vMerge w:val="continue"/>
            <w:shd w:val="clear" w:color="auto" w:fill="CCEEFF"/>
          </w:tcPr>
          <w:p>
            <w:pPr>
              <w:spacing w:after="0"/>
              <w:rPr>
                <w:sz w:val="4"/>
                <w:szCs w:val="4"/>
                <w:color w:val="auto"/>
              </w:rPr>
            </w:pPr>
          </w:p>
        </w:tc>
        <w:tc>
          <w:tcPr>
            <w:tcW w:w="620" w:type="dxa"/>
            <w:vAlign w:val="bottom"/>
            <w:tcBorders>
              <w:right w:val="single" w:sz="8" w:color="auto"/>
            </w:tcBorders>
            <w:vMerge w:val="continue"/>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360" w:type="dxa"/>
            <w:vAlign w:val="bottom"/>
            <w:tcBorders>
              <w:right w:val="single" w:sz="8" w:color="auto"/>
            </w:tcBorders>
            <w:shd w:val="clear" w:color="auto" w:fill="CCEEFF"/>
          </w:tcPr>
          <w:p>
            <w:pPr>
              <w:spacing w:after="0"/>
              <w:rPr>
                <w:sz w:val="4"/>
                <w:szCs w:val="4"/>
                <w:color w:val="auto"/>
              </w:rPr>
            </w:pPr>
          </w:p>
        </w:tc>
        <w:tc>
          <w:tcPr>
            <w:tcW w:w="940" w:type="dxa"/>
            <w:vAlign w:val="bottom"/>
            <w:tcBorders>
              <w:right w:val="single" w:sz="8" w:color="auto"/>
            </w:tcBorders>
            <w:vMerge w:val="continue"/>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980" w:type="dxa"/>
            <w:vAlign w:val="bottom"/>
            <w:tcBorders>
              <w:right w:val="single" w:sz="8" w:color="auto"/>
            </w:tcBorders>
            <w:shd w:val="clear" w:color="auto" w:fill="CCEEFF"/>
          </w:tcPr>
          <w:p>
            <w:pPr>
              <w:spacing w:after="0"/>
              <w:rPr>
                <w:sz w:val="4"/>
                <w:szCs w:val="4"/>
                <w:color w:val="auto"/>
              </w:rPr>
            </w:pPr>
          </w:p>
        </w:tc>
        <w:tc>
          <w:tcPr>
            <w:tcW w:w="1400" w:type="dxa"/>
            <w:vAlign w:val="bottom"/>
            <w:tcBorders>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353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328</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681</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Steve Cutler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1,172</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171</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793</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2,167</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6,091</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8,302</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374</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122</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Hugh Brady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387</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77</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John Climax</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387</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65</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353</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97</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William Hall</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387</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90</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353</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97</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292</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65</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Mary Pendergast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387</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77</w:t>
            </w:r>
          </w:p>
        </w:tc>
        <w:tc>
          <w:tcPr>
            <w:tcW w:w="14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1,172</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171</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793</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31</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2,167</w:t>
            </w:r>
          </w:p>
        </w:tc>
        <w:tc>
          <w:tcPr>
            <w:tcW w:w="11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b w:val="1"/>
                <w:bCs w:val="1"/>
                <w:color w:val="auto"/>
              </w:rPr>
              <w:t>9,364</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1,062</w:t>
            </w:r>
          </w:p>
        </w:tc>
        <w:tc>
          <w:tcPr>
            <w:tcW w:w="14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12,593</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180"/>
        <w:spacing w:after="0" w:line="260" w:lineRule="auto"/>
        <w:rPr>
          <w:sz w:val="20"/>
          <w:szCs w:val="20"/>
          <w:color w:val="auto"/>
        </w:rPr>
      </w:pPr>
      <w:r>
        <w:rPr>
          <w:rFonts w:ascii="Arial" w:cs="Arial" w:eastAsia="Arial" w:hAnsi="Arial"/>
          <w:sz w:val="11"/>
          <w:szCs w:val="11"/>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3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80"/>
          </w:cols>
          <w:pgMar w:left="300" w:top="696" w:right="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260" w:hanging="255"/>
        <w:spacing w:after="0"/>
        <w:tabs>
          <w:tab w:leader="none" w:pos="26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compensation table - Year ended 31 December 2019</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1340" w:type="dxa"/>
            <w:vAlign w:val="bottom"/>
            <w:tcBorders>
              <w:top w:val="single" w:sz="8" w:color="auto"/>
              <w:left w:val="single" w:sz="8" w:color="auto"/>
              <w:right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shd w:val="clear" w:color="auto" w:fill="CCEEFF"/>
          </w:tcPr>
          <w:p>
            <w:pPr>
              <w:spacing w:after="0"/>
              <w:rPr>
                <w:sz w:val="13"/>
                <w:szCs w:val="13"/>
                <w:color w:val="auto"/>
              </w:rPr>
            </w:pPr>
          </w:p>
        </w:tc>
        <w:tc>
          <w:tcPr>
            <w:tcW w:w="940" w:type="dxa"/>
            <w:vAlign w:val="bottom"/>
            <w:tcBorders>
              <w:top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shd w:val="clear" w:color="auto" w:fill="CCEEFF"/>
          </w:tcPr>
          <w:p>
            <w:pPr>
              <w:spacing w:after="0"/>
              <w:rPr>
                <w:sz w:val="13"/>
                <w:szCs w:val="13"/>
                <w:color w:val="auto"/>
              </w:rPr>
            </w:pPr>
          </w:p>
        </w:tc>
        <w:tc>
          <w:tcPr>
            <w:tcW w:w="1400" w:type="dxa"/>
            <w:vAlign w:val="bottom"/>
            <w:tcBorders>
              <w:top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620" w:type="dxa"/>
            <w:vAlign w:val="bottom"/>
            <w:tcBorders>
              <w:right w:val="single" w:sz="8" w:color="auto"/>
            </w:tcBorders>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340" w:type="dxa"/>
            <w:vAlign w:val="bottom"/>
            <w:vMerge w:val="restart"/>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pension contribution</w:t>
            </w:r>
          </w:p>
        </w:tc>
        <w:tc>
          <w:tcPr>
            <w:tcW w:w="1300" w:type="dxa"/>
            <w:vAlign w:val="bottom"/>
            <w:vMerge w:val="continue"/>
            <w:shd w:val="clear" w:color="auto" w:fill="CCEEFF"/>
          </w:tcPr>
          <w:p>
            <w:pPr>
              <w:spacing w:after="0"/>
              <w:rPr>
                <w:sz w:val="6"/>
                <w:szCs w:val="6"/>
                <w:color w:val="auto"/>
              </w:rPr>
            </w:pPr>
          </w:p>
        </w:tc>
        <w:tc>
          <w:tcPr>
            <w:tcW w:w="13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right w:val="single" w:sz="8" w:color="auto"/>
            </w:tcBorders>
            <w:shd w:val="clear" w:color="auto" w:fill="CCEEFF"/>
          </w:tcPr>
          <w:p>
            <w:pPr>
              <w:spacing w:after="0"/>
              <w:rPr>
                <w:sz w:val="6"/>
                <w:szCs w:val="6"/>
                <w:color w:val="auto"/>
              </w:rPr>
            </w:pPr>
          </w:p>
        </w:tc>
        <w:tc>
          <w:tcPr>
            <w:tcW w:w="1140" w:type="dxa"/>
            <w:vAlign w:val="bottom"/>
            <w:vMerge w:val="restart"/>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payments</w:t>
            </w:r>
          </w:p>
        </w:tc>
        <w:tc>
          <w:tcPr>
            <w:tcW w:w="98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shd w:val="clear" w:color="auto" w:fill="CCEEFF"/>
          </w:tcPr>
          <w:p>
            <w:pPr>
              <w:spacing w:after="0"/>
              <w:rPr>
                <w:sz w:val="5"/>
                <w:szCs w:val="5"/>
                <w:color w:val="auto"/>
              </w:rPr>
            </w:pPr>
          </w:p>
        </w:tc>
        <w:tc>
          <w:tcPr>
            <w:tcW w:w="620" w:type="dxa"/>
            <w:vAlign w:val="bottom"/>
            <w:tcBorders>
              <w:right w:val="single" w:sz="8" w:color="auto"/>
            </w:tcBorders>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300" w:type="dxa"/>
            <w:vAlign w:val="bottom"/>
            <w:vMerge w:val="restart"/>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compensation</w:t>
            </w:r>
          </w:p>
        </w:tc>
        <w:tc>
          <w:tcPr>
            <w:tcW w:w="1360" w:type="dxa"/>
            <w:vAlign w:val="bottom"/>
            <w:tcBorders>
              <w:right w:val="single" w:sz="8" w:color="auto"/>
            </w:tcBorders>
            <w:vMerge w:val="continue"/>
            <w:shd w:val="clear" w:color="auto" w:fill="CCEEFF"/>
          </w:tcPr>
          <w:p>
            <w:pPr>
              <w:spacing w:after="0"/>
              <w:rPr>
                <w:sz w:val="5"/>
                <w:szCs w:val="5"/>
                <w:color w:val="auto"/>
              </w:rPr>
            </w:pPr>
          </w:p>
        </w:tc>
        <w:tc>
          <w:tcPr>
            <w:tcW w:w="940" w:type="dxa"/>
            <w:vAlign w:val="bottom"/>
            <w:tcBorders>
              <w:right w:val="single" w:sz="8" w:color="auto"/>
            </w:tcBorders>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980" w:type="dxa"/>
            <w:vAlign w:val="bottom"/>
            <w:tcBorders>
              <w:right w:val="single" w:sz="8" w:color="auto"/>
            </w:tcBorders>
            <w:vMerge w:val="restart"/>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Directors’ fees</w:t>
            </w:r>
          </w:p>
        </w:tc>
        <w:tc>
          <w:tcPr>
            <w:tcW w:w="140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340" w:type="dxa"/>
            <w:vAlign w:val="bottom"/>
            <w:tcBorders>
              <w:left w:val="single" w:sz="8" w:color="auto"/>
              <w:right w:val="single" w:sz="8" w:color="auto"/>
            </w:tcBorders>
            <w:shd w:val="clear" w:color="auto" w:fill="CCEEFF"/>
          </w:tcPr>
          <w:p>
            <w:pPr>
              <w:spacing w:after="0"/>
              <w:rPr>
                <w:sz w:val="4"/>
                <w:szCs w:val="4"/>
                <w:color w:val="auto"/>
              </w:rPr>
            </w:pPr>
          </w:p>
        </w:tc>
        <w:tc>
          <w:tcPr>
            <w:tcW w:w="620" w:type="dxa"/>
            <w:vAlign w:val="bottom"/>
            <w:tcBorders>
              <w:right w:val="single" w:sz="8" w:color="auto"/>
            </w:tcBorders>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300" w:type="dxa"/>
            <w:vAlign w:val="bottom"/>
            <w:vMerge w:val="continue"/>
            <w:shd w:val="clear" w:color="auto" w:fill="CCEEFF"/>
          </w:tcPr>
          <w:p>
            <w:pPr>
              <w:spacing w:after="0"/>
              <w:rPr>
                <w:sz w:val="4"/>
                <w:szCs w:val="4"/>
                <w:color w:val="auto"/>
              </w:rPr>
            </w:pPr>
          </w:p>
        </w:tc>
        <w:tc>
          <w:tcPr>
            <w:tcW w:w="1360" w:type="dxa"/>
            <w:vAlign w:val="bottom"/>
            <w:tcBorders>
              <w:right w:val="single" w:sz="8" w:color="auto"/>
            </w:tcBorders>
            <w:vMerge w:val="continue"/>
            <w:shd w:val="clear" w:color="auto" w:fill="CCEEFF"/>
          </w:tcPr>
          <w:p>
            <w:pPr>
              <w:spacing w:after="0"/>
              <w:rPr>
                <w:sz w:val="4"/>
                <w:szCs w:val="4"/>
                <w:color w:val="auto"/>
              </w:rPr>
            </w:pPr>
          </w:p>
        </w:tc>
        <w:tc>
          <w:tcPr>
            <w:tcW w:w="940" w:type="dxa"/>
            <w:vAlign w:val="bottom"/>
            <w:tcBorders>
              <w:right w:val="single" w:sz="8" w:color="auto"/>
            </w:tcBorders>
            <w:shd w:val="clear" w:color="auto" w:fill="CCEEFF"/>
          </w:tcPr>
          <w:p>
            <w:pPr>
              <w:spacing w:after="0"/>
              <w:rPr>
                <w:sz w:val="4"/>
                <w:szCs w:val="4"/>
                <w:color w:val="auto"/>
              </w:rPr>
            </w:pPr>
          </w:p>
        </w:tc>
        <w:tc>
          <w:tcPr>
            <w:tcW w:w="1140" w:type="dxa"/>
            <w:vAlign w:val="bottom"/>
            <w:vMerge w:val="restart"/>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w:t>
            </w:r>
          </w:p>
        </w:tc>
        <w:tc>
          <w:tcPr>
            <w:tcW w:w="980" w:type="dxa"/>
            <w:vAlign w:val="bottom"/>
            <w:tcBorders>
              <w:right w:val="single" w:sz="8" w:color="auto"/>
            </w:tcBorders>
            <w:vMerge w:val="continue"/>
            <w:shd w:val="clear" w:color="auto" w:fill="CCEEFF"/>
          </w:tcPr>
          <w:p>
            <w:pPr>
              <w:spacing w:after="0"/>
              <w:rPr>
                <w:sz w:val="4"/>
                <w:szCs w:val="4"/>
                <w:color w:val="auto"/>
              </w:rPr>
            </w:pPr>
          </w:p>
        </w:tc>
        <w:tc>
          <w:tcPr>
            <w:tcW w:w="1400" w:type="dxa"/>
            <w:vAlign w:val="bottom"/>
            <w:tcBorders>
              <w:right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340" w:type="dxa"/>
            <w:vAlign w:val="bottom"/>
            <w:tcBorders>
              <w:left w:val="single" w:sz="8" w:color="auto"/>
              <w:right w:val="single" w:sz="8" w:color="auto"/>
            </w:tcBorders>
            <w:vMerge w:val="restart"/>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1"/>
                <w:szCs w:val="11"/>
                <w:b w:val="1"/>
                <w:bCs w:val="1"/>
                <w:color w:val="auto"/>
              </w:rPr>
              <w:t>Salary</w:t>
            </w:r>
          </w:p>
        </w:tc>
        <w:tc>
          <w:tcPr>
            <w:tcW w:w="13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360" w:type="dxa"/>
            <w:vAlign w:val="bottom"/>
            <w:tcBorders>
              <w:right w:val="single" w:sz="8" w:color="auto"/>
            </w:tcBorders>
            <w:shd w:val="clear" w:color="auto" w:fill="CCEEFF"/>
          </w:tcPr>
          <w:p>
            <w:pPr>
              <w:spacing w:after="0"/>
              <w:rPr>
                <w:sz w:val="8"/>
                <w:szCs w:val="8"/>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vMerge w:val="continue"/>
            <w:shd w:val="clear" w:color="auto" w:fill="CCEEFF"/>
          </w:tcPr>
          <w:p>
            <w:pPr>
              <w:spacing w:after="0"/>
              <w:rPr>
                <w:sz w:val="8"/>
                <w:szCs w:val="8"/>
                <w:color w:val="auto"/>
              </w:rPr>
            </w:pPr>
          </w:p>
        </w:tc>
        <w:tc>
          <w:tcPr>
            <w:tcW w:w="980" w:type="dxa"/>
            <w:vAlign w:val="bottom"/>
            <w:tcBorders>
              <w:right w:val="single" w:sz="8" w:color="auto"/>
            </w:tcBorders>
            <w:shd w:val="clear" w:color="auto" w:fill="CCEEFF"/>
          </w:tcPr>
          <w:p>
            <w:pPr>
              <w:spacing w:after="0"/>
              <w:rPr>
                <w:sz w:val="8"/>
                <w:szCs w:val="8"/>
                <w:color w:val="auto"/>
              </w:rPr>
            </w:pPr>
          </w:p>
        </w:tc>
        <w:tc>
          <w:tcPr>
            <w:tcW w:w="14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53"/>
        </w:trPr>
        <w:tc>
          <w:tcPr>
            <w:tcW w:w="1340" w:type="dxa"/>
            <w:vAlign w:val="bottom"/>
            <w:tcBorders>
              <w:left w:val="single" w:sz="8" w:color="auto"/>
              <w:right w:val="single" w:sz="8" w:color="auto"/>
            </w:tcBorders>
            <w:vMerge w:val="continue"/>
            <w:shd w:val="clear" w:color="auto" w:fill="CCEEFF"/>
          </w:tcPr>
          <w:p>
            <w:pPr>
              <w:spacing w:after="0"/>
              <w:rPr>
                <w:sz w:val="4"/>
                <w:szCs w:val="4"/>
                <w:color w:val="auto"/>
              </w:rPr>
            </w:pPr>
          </w:p>
        </w:tc>
        <w:tc>
          <w:tcPr>
            <w:tcW w:w="620" w:type="dxa"/>
            <w:vAlign w:val="bottom"/>
            <w:tcBorders>
              <w:right w:val="single" w:sz="8" w:color="auto"/>
            </w:tcBorders>
            <w:vMerge w:val="continue"/>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360" w:type="dxa"/>
            <w:vAlign w:val="bottom"/>
            <w:tcBorders>
              <w:right w:val="single" w:sz="8" w:color="auto"/>
            </w:tcBorders>
            <w:shd w:val="clear" w:color="auto" w:fill="CCEEFF"/>
          </w:tcPr>
          <w:p>
            <w:pPr>
              <w:spacing w:after="0"/>
              <w:rPr>
                <w:sz w:val="4"/>
                <w:szCs w:val="4"/>
                <w:color w:val="auto"/>
              </w:rPr>
            </w:pPr>
          </w:p>
        </w:tc>
        <w:tc>
          <w:tcPr>
            <w:tcW w:w="940" w:type="dxa"/>
            <w:vAlign w:val="bottom"/>
            <w:tcBorders>
              <w:right w:val="single" w:sz="8" w:color="auto"/>
            </w:tcBorders>
            <w:vMerge w:val="continue"/>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980" w:type="dxa"/>
            <w:vAlign w:val="bottom"/>
            <w:tcBorders>
              <w:right w:val="single" w:sz="8" w:color="auto"/>
            </w:tcBorders>
            <w:shd w:val="clear" w:color="auto" w:fill="CCEEFF"/>
          </w:tcPr>
          <w:p>
            <w:pPr>
              <w:spacing w:after="0"/>
              <w:rPr>
                <w:sz w:val="4"/>
                <w:szCs w:val="4"/>
                <w:color w:val="auto"/>
              </w:rPr>
            </w:pPr>
          </w:p>
        </w:tc>
        <w:tc>
          <w:tcPr>
            <w:tcW w:w="1400" w:type="dxa"/>
            <w:vAlign w:val="bottom"/>
            <w:tcBorders>
              <w:right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340" w:type="dxa"/>
            <w:vAlign w:val="bottom"/>
            <w:tcBorders>
              <w:left w:val="single" w:sz="8" w:color="auto"/>
              <w:right w:val="single" w:sz="8" w:color="auto"/>
            </w:tcBorders>
            <w:vMerge w:val="continue"/>
            <w:shd w:val="clear" w:color="auto" w:fill="CCEEFF"/>
          </w:tcPr>
          <w:p>
            <w:pPr>
              <w:spacing w:after="0"/>
              <w:rPr>
                <w:sz w:val="4"/>
                <w:szCs w:val="4"/>
                <w:color w:val="auto"/>
              </w:rPr>
            </w:pPr>
          </w:p>
        </w:tc>
        <w:tc>
          <w:tcPr>
            <w:tcW w:w="620" w:type="dxa"/>
            <w:vAlign w:val="bottom"/>
            <w:tcBorders>
              <w:right w:val="single" w:sz="8" w:color="auto"/>
            </w:tcBorders>
            <w:vMerge w:val="continue"/>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360" w:type="dxa"/>
            <w:vAlign w:val="bottom"/>
            <w:tcBorders>
              <w:right w:val="single" w:sz="8" w:color="auto"/>
            </w:tcBorders>
            <w:shd w:val="clear" w:color="auto" w:fill="CCEEFF"/>
          </w:tcPr>
          <w:p>
            <w:pPr>
              <w:spacing w:after="0"/>
              <w:rPr>
                <w:sz w:val="4"/>
                <w:szCs w:val="4"/>
                <w:color w:val="auto"/>
              </w:rPr>
            </w:pPr>
          </w:p>
        </w:tc>
        <w:tc>
          <w:tcPr>
            <w:tcW w:w="940" w:type="dxa"/>
            <w:vAlign w:val="bottom"/>
            <w:tcBorders>
              <w:right w:val="single" w:sz="8" w:color="auto"/>
            </w:tcBorders>
            <w:vMerge w:val="continue"/>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980" w:type="dxa"/>
            <w:vAlign w:val="bottom"/>
            <w:tcBorders>
              <w:right w:val="single" w:sz="8" w:color="auto"/>
            </w:tcBorders>
            <w:shd w:val="clear" w:color="auto" w:fill="CCEEFF"/>
          </w:tcPr>
          <w:p>
            <w:pPr>
              <w:spacing w:after="0"/>
              <w:rPr>
                <w:sz w:val="4"/>
                <w:szCs w:val="4"/>
                <w:color w:val="auto"/>
              </w:rPr>
            </w:pPr>
          </w:p>
        </w:tc>
        <w:tc>
          <w:tcPr>
            <w:tcW w:w="1400" w:type="dxa"/>
            <w:vAlign w:val="bottom"/>
            <w:tcBorders>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173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343</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516</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Steve Cutler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1,112</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178</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949</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2,270</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5,371</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7,685</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208</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122</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Hugh Brady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243</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77</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John Climax</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243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65</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173</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96</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William Hall</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243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94</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Dermot Kelleher**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225</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37</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173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87</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Declan McKeon**</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225</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51</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84</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Mary Pendergast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243</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77</w:t>
            </w:r>
          </w:p>
        </w:tc>
        <w:tc>
          <w:tcPr>
            <w:tcW w:w="14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1,112</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178</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949</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31</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2,270</w:t>
            </w:r>
          </w:p>
        </w:tc>
        <w:tc>
          <w:tcPr>
            <w:tcW w:w="11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b w:val="1"/>
                <w:bCs w:val="1"/>
                <w:color w:val="auto"/>
              </w:rPr>
              <w:t>7,604</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1,122</w:t>
            </w:r>
          </w:p>
        </w:tc>
        <w:tc>
          <w:tcPr>
            <w:tcW w:w="14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10,996</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*Appointed as Lead Independent Director on 1 January 2019.</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**Retired as Lead Independent Director on 1 January 2019. Retired from the Board at the AGM on 23 July 2019.</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***Appointed to the Board on 23 July 2019.</w:t>
      </w:r>
    </w:p>
    <w:p>
      <w:pPr>
        <w:spacing w:after="0" w:line="43" w:lineRule="exact"/>
        <w:rPr>
          <w:sz w:val="20"/>
          <w:szCs w:val="20"/>
          <w:color w:val="auto"/>
        </w:rPr>
      </w:pPr>
    </w:p>
    <w:p>
      <w:pPr>
        <w:jc w:val="both"/>
        <w:ind w:right="40"/>
        <w:spacing w:after="0" w:line="260" w:lineRule="auto"/>
        <w:rPr>
          <w:sz w:val="20"/>
          <w:szCs w:val="20"/>
          <w:color w:val="auto"/>
        </w:rPr>
      </w:pPr>
      <w:r>
        <w:rPr>
          <w:rFonts w:ascii="Arial" w:cs="Arial" w:eastAsia="Arial" w:hAnsi="Arial"/>
          <w:sz w:val="11"/>
          <w:szCs w:val="11"/>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3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153" w:lineRule="exact"/>
        <w:rPr>
          <w:sz w:val="20"/>
          <w:szCs w:val="20"/>
          <w:color w:val="auto"/>
        </w:rPr>
      </w:pPr>
    </w:p>
    <w:p>
      <w:pPr>
        <w:ind w:left="320" w:hanging="315"/>
        <w:spacing w:after="0"/>
        <w:tabs>
          <w:tab w:leader="none" w:pos="32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w:t>
      </w:r>
    </w:p>
    <w:p>
      <w:pPr>
        <w:spacing w:after="0" w:line="194"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 xml:space="preserve">The Group operates a number of defined contribution schemes and two defined benefit pension schemes. The Group accounts for pensions in accordance with IAS 19R </w:t>
      </w:r>
      <w:r>
        <w:rPr>
          <w:rFonts w:ascii="Arial" w:cs="Arial" w:eastAsia="Arial" w:hAnsi="Arial"/>
          <w:sz w:val="13"/>
          <w:szCs w:val="13"/>
          <w:i w:val="1"/>
          <w:iCs w:val="1"/>
          <w:color w:val="auto"/>
        </w:rPr>
        <w:t>Employee Benefits</w:t>
      </w:r>
      <w:r>
        <w:rPr>
          <w:rFonts w:ascii="Arial" w:cs="Arial" w:eastAsia="Arial" w:hAnsi="Arial"/>
          <w:sz w:val="13"/>
          <w:szCs w:val="13"/>
          <w:color w:val="auto"/>
        </w:rPr>
        <w:t xml:space="preserve"> (“IAS 19R”).</w:t>
      </w:r>
    </w:p>
    <w:p>
      <w:pPr>
        <w:spacing w:after="0" w:line="156" w:lineRule="exact"/>
        <w:rPr>
          <w:sz w:val="20"/>
          <w:szCs w:val="20"/>
          <w:color w:val="auto"/>
        </w:rPr>
      </w:pPr>
    </w:p>
    <w:p>
      <w:pPr>
        <w:ind w:left="500" w:hanging="395"/>
        <w:spacing w:after="0"/>
        <w:tabs>
          <w:tab w:leader="none" w:pos="50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Defined Contribution Schemes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3"/>
          <w:szCs w:val="13"/>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8% of the participant's annual compensation. Contributions to this plan are recorded as a remuneration expense in the Consolidated Statement of Profit and Loss. Contributions for the year ended 31 December 2020 and year ended 31 December 2019 were $28,036,000 and $26,483,000 respectively.</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participant's contributions up to 3% and matches 50% of participant's contributions thereafter to a maximum Company contribution of 4.5% of the participant's annual compensation. Contributions to the U.S. Plan are recorded, in the year contributed, as an expense in the Consolidated Statement of Profit and Loss. Contributions for the year ended 31 December 2020 and year ended 31 December 2019 were $17,048,000 and $16,469,000 respectively.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696"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rFonts w:ascii="Arial" w:cs="Arial" w:eastAsia="Arial" w:hAnsi="Arial"/>
          <w:sz w:val="13"/>
          <w:szCs w:val="13"/>
          <w:b w:val="1"/>
          <w:bCs w:val="1"/>
          <w:color w:val="auto"/>
        </w:rPr>
      </w:pPr>
    </w:p>
    <w:p>
      <w:pPr>
        <w:spacing w:after="0" w:line="212" w:lineRule="exact"/>
        <w:rPr>
          <w:rFonts w:ascii="Arial" w:cs="Arial" w:eastAsia="Arial" w:hAnsi="Arial"/>
          <w:sz w:val="13"/>
          <w:szCs w:val="13"/>
          <w:b w:val="1"/>
          <w:bCs w:val="1"/>
          <w:color w:val="auto"/>
        </w:rPr>
      </w:pPr>
    </w:p>
    <w:p>
      <w:pPr>
        <w:ind w:left="540" w:hanging="395"/>
        <w:spacing w:after="0"/>
        <w:tabs>
          <w:tab w:leader="none" w:pos="540" w:val="left"/>
        </w:tabs>
        <w:numPr>
          <w:ilvl w:val="1"/>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Defined Benefit Plans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ICON Development Solutions Limited defined benefit pension plan</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One of the Group’s subsidiaries, ICON Development Solutions Limited, which was acquired by the Group in 2003, operates a defined benefit pension plan in the United Kingdom for certain of its employees, which is now closed to new members.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plan is managed externally and the related pension costs and liabilities are assessed in accordance with the advice of a professionally qualified actuary. Plan assets at 31 December 2020 and 31 December 2019 consist of units held in independently administered funds.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Financial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in determining the fair value of the plan assets and the present value of the projected benefit obligation at 31 December 2020: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shd w:val="clear" w:color="auto" w:fill="CCEEFF"/>
          </w:tcPr>
          <w:p>
            <w:pPr>
              <w:spacing w:after="0"/>
              <w:rPr>
                <w:sz w:val="13"/>
                <w:szCs w:val="13"/>
                <w:color w:val="auto"/>
              </w:rPr>
            </w:pP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180" w:type="dxa"/>
            <w:vAlign w:val="bottom"/>
            <w:tcBorders>
              <w:bottom w:val="single" w:sz="8" w:color="auto"/>
            </w:tcBorders>
            <w:shd w:val="clear" w:color="auto" w:fill="CCEEFF"/>
          </w:tcPr>
          <w:p>
            <w:pPr>
              <w:spacing w:after="0"/>
              <w:rPr>
                <w:sz w:val="14"/>
                <w:szCs w:val="14"/>
                <w:color w:val="auto"/>
              </w:rPr>
            </w:pPr>
          </w:p>
        </w:tc>
        <w:tc>
          <w:tcPr>
            <w:tcW w:w="49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82"/>
        </w:trPr>
        <w:tc>
          <w:tcPr>
            <w:tcW w:w="51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1.50 %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5180" w:type="dxa"/>
            <w:vAlign w:val="bottom"/>
          </w:tcPr>
          <w:p>
            <w:pPr>
              <w:ind w:left="20"/>
              <w:spacing w:after="0"/>
              <w:rPr>
                <w:sz w:val="20"/>
                <w:szCs w:val="20"/>
                <w:color w:val="auto"/>
              </w:rPr>
            </w:pPr>
            <w:r>
              <w:rPr>
                <w:rFonts w:ascii="Arial" w:cs="Arial" w:eastAsia="Arial" w:hAnsi="Arial"/>
                <w:sz w:val="13"/>
                <w:szCs w:val="13"/>
                <w:color w:val="auto"/>
              </w:rPr>
              <w:t>Inflation rate</w:t>
            </w:r>
          </w:p>
        </w:tc>
        <w:tc>
          <w:tcPr>
            <w:tcW w:w="4920" w:type="dxa"/>
            <w:vAlign w:val="bottom"/>
          </w:tcPr>
          <w:p>
            <w:pPr>
              <w:jc w:val="right"/>
              <w:ind w:right="356"/>
              <w:spacing w:after="0"/>
              <w:rPr>
                <w:sz w:val="20"/>
                <w:szCs w:val="20"/>
                <w:color w:val="auto"/>
              </w:rPr>
            </w:pPr>
            <w:r>
              <w:rPr>
                <w:rFonts w:ascii="Arial" w:cs="Arial" w:eastAsia="Arial" w:hAnsi="Arial"/>
                <w:sz w:val="13"/>
                <w:szCs w:val="13"/>
                <w:b w:val="1"/>
                <w:bCs w:val="1"/>
                <w:color w:val="auto"/>
              </w:rPr>
              <w:t>2.90 %</w:t>
            </w:r>
          </w:p>
        </w:tc>
        <w:tc>
          <w:tcPr>
            <w:tcW w:w="1180" w:type="dxa"/>
            <w:vAlign w:val="bottom"/>
          </w:tcPr>
          <w:p>
            <w:pPr>
              <w:jc w:val="right"/>
              <w:spacing w:after="0"/>
              <w:rPr>
                <w:sz w:val="20"/>
                <w:szCs w:val="20"/>
                <w:color w:val="auto"/>
              </w:rPr>
            </w:pPr>
            <w:r>
              <w:rPr>
                <w:rFonts w:ascii="Arial" w:cs="Arial" w:eastAsia="Arial" w:hAnsi="Arial"/>
                <w:sz w:val="13"/>
                <w:szCs w:val="13"/>
                <w:color w:val="auto"/>
              </w:rPr>
              <w:t>2.80 %</w:t>
            </w:r>
          </w:p>
        </w:tc>
      </w:tr>
      <w:tr>
        <w:trPr>
          <w:trHeight w:val="170"/>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Future pension increases</w:t>
            </w: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2.80 %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2.70 %</w:t>
            </w:r>
          </w:p>
        </w:tc>
      </w:tr>
      <w:tr>
        <w:trPr>
          <w:trHeight w:val="17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3.40 %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3.30 %</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 single discount rate is used which, when used to discount the projected benefit cashflows underlying a pension scheme with a 26 year duration, gives the same result as a full AA corporate bond yield curve.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at the commencement of the year in determining the net periodic pension cost for the year ended 31 December 2020: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shd w:val="clear" w:color="auto" w:fill="CCEEFF"/>
          </w:tcPr>
          <w:p>
            <w:pPr>
              <w:spacing w:after="0"/>
              <w:rPr>
                <w:sz w:val="13"/>
                <w:szCs w:val="13"/>
                <w:color w:val="auto"/>
              </w:rPr>
            </w:pPr>
          </w:p>
        </w:tc>
        <w:tc>
          <w:tcPr>
            <w:tcW w:w="49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120" w:type="dxa"/>
            <w:vAlign w:val="bottom"/>
            <w:tcBorders>
              <w:bottom w:val="single" w:sz="8" w:color="auto"/>
            </w:tcBorders>
            <w:shd w:val="clear" w:color="auto" w:fill="CCEEFF"/>
          </w:tcPr>
          <w:p>
            <w:pPr>
              <w:spacing w:after="0"/>
              <w:rPr>
                <w:sz w:val="14"/>
                <w:szCs w:val="14"/>
                <w:color w:val="auto"/>
              </w:rPr>
            </w:pPr>
          </w:p>
        </w:tc>
        <w:tc>
          <w:tcPr>
            <w:tcW w:w="49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82"/>
        </w:trPr>
        <w:tc>
          <w:tcPr>
            <w:tcW w:w="51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2.10 %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2.90 %</w:t>
            </w:r>
          </w:p>
        </w:tc>
      </w:tr>
      <w:tr>
        <w:trPr>
          <w:trHeight w:val="171"/>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3.30 %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3.70 %</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Mortality assumptions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Assumptions regarding mortality experience are set based on actuarial advice in accordance with published statistics and experience. The mortality assumptions adopted at 31 December 2020 are 108% of the standard tables S3PMA/S3PFA_M, Year of Birth, no age rating for males and females, projected using CMI_2019 converging to 1.25% p.a.. These imply the following life expectancies, for persons retiring at age 62: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shd w:val="clear" w:color="auto" w:fill="CCEEFF"/>
          </w:tcPr>
          <w:p>
            <w:pPr>
              <w:spacing w:after="0"/>
              <w:rPr>
                <w:sz w:val="12"/>
                <w:szCs w:val="12"/>
                <w:color w:val="auto"/>
              </w:rPr>
            </w:pPr>
          </w:p>
        </w:tc>
        <w:tc>
          <w:tcPr>
            <w:tcW w:w="4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160" w:type="dxa"/>
            <w:vAlign w:val="bottom"/>
            <w:tcBorders>
              <w:bottom w:val="single" w:sz="8" w:color="auto"/>
            </w:tcBorders>
            <w:shd w:val="clear" w:color="auto" w:fill="CCEEFF"/>
          </w:tcPr>
          <w:p>
            <w:pPr>
              <w:spacing w:after="0"/>
              <w:rPr>
                <w:sz w:val="14"/>
                <w:szCs w:val="14"/>
                <w:color w:val="auto"/>
              </w:rPr>
            </w:pPr>
          </w:p>
        </w:tc>
        <w:tc>
          <w:tcPr>
            <w:tcW w:w="49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82"/>
        </w:trPr>
        <w:tc>
          <w:tcPr>
            <w:tcW w:w="51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2020</w:t>
            </w:r>
          </w:p>
        </w:tc>
        <w:tc>
          <w:tcPr>
            <w:tcW w:w="4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24.3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 years</w:t>
            </w:r>
          </w:p>
        </w:tc>
      </w:tr>
      <w:tr>
        <w:trPr>
          <w:trHeight w:val="169"/>
        </w:trPr>
        <w:tc>
          <w:tcPr>
            <w:tcW w:w="5160" w:type="dxa"/>
            <w:vAlign w:val="bottom"/>
          </w:tcPr>
          <w:p>
            <w:pPr>
              <w:ind w:left="20"/>
              <w:spacing w:after="0"/>
              <w:rPr>
                <w:sz w:val="20"/>
                <w:szCs w:val="20"/>
                <w:color w:val="auto"/>
              </w:rPr>
            </w:pPr>
            <w:r>
              <w:rPr>
                <w:rFonts w:ascii="Arial" w:cs="Arial" w:eastAsia="Arial" w:hAnsi="Arial"/>
                <w:sz w:val="13"/>
                <w:szCs w:val="13"/>
                <w:color w:val="auto"/>
              </w:rPr>
              <w:t>Female retiring in 2020</w:t>
            </w:r>
          </w:p>
        </w:tc>
        <w:tc>
          <w:tcPr>
            <w:tcW w:w="4980" w:type="dxa"/>
            <w:vAlign w:val="bottom"/>
          </w:tcPr>
          <w:p>
            <w:pPr>
              <w:jc w:val="right"/>
              <w:ind w:right="296"/>
              <w:spacing w:after="0"/>
              <w:rPr>
                <w:sz w:val="20"/>
                <w:szCs w:val="20"/>
                <w:color w:val="auto"/>
              </w:rPr>
            </w:pPr>
            <w:r>
              <w:rPr>
                <w:rFonts w:ascii="Arial" w:cs="Arial" w:eastAsia="Arial" w:hAnsi="Arial"/>
                <w:sz w:val="13"/>
                <w:szCs w:val="13"/>
                <w:b w:val="1"/>
                <w:bCs w:val="1"/>
                <w:color w:val="auto"/>
              </w:rPr>
              <w:t>26.1 years</w:t>
            </w:r>
          </w:p>
        </w:tc>
        <w:tc>
          <w:tcPr>
            <w:tcW w:w="1140" w:type="dxa"/>
            <w:vAlign w:val="bottom"/>
          </w:tcPr>
          <w:p>
            <w:pPr>
              <w:jc w:val="right"/>
              <w:spacing w:after="0"/>
              <w:rPr>
                <w:sz w:val="20"/>
                <w:szCs w:val="20"/>
                <w:color w:val="auto"/>
              </w:rPr>
            </w:pPr>
            <w:r>
              <w:rPr>
                <w:rFonts w:ascii="Arial" w:cs="Arial" w:eastAsia="Arial" w:hAnsi="Arial"/>
                <w:sz w:val="13"/>
                <w:szCs w:val="13"/>
                <w:color w:val="auto"/>
              </w:rPr>
              <w:t>26.3 years</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2040</w:t>
            </w:r>
          </w:p>
        </w:tc>
        <w:tc>
          <w:tcPr>
            <w:tcW w:w="4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25.7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 years</w:t>
            </w:r>
          </w:p>
        </w:tc>
      </w:tr>
      <w:tr>
        <w:trPr>
          <w:trHeight w:val="171"/>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Female retiring in 2040</w:t>
            </w:r>
          </w:p>
        </w:tc>
        <w:tc>
          <w:tcPr>
            <w:tcW w:w="49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27.6 years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 years</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80"/>
          </w:cols>
          <w:pgMar w:left="300" w:top="696"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status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2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3180" w:type="dxa"/>
            <w:vAlign w:val="bottom"/>
            <w:gridSpan w:val="3"/>
            <w:shd w:val="clear" w:color="auto" w:fill="CCEEFF"/>
          </w:tcPr>
          <w:p>
            <w:pPr>
              <w:ind w:left="820"/>
              <w:spacing w:after="0"/>
              <w:rPr>
                <w:sz w:val="20"/>
                <w:szCs w:val="20"/>
                <w:color w:val="auto"/>
              </w:rPr>
            </w:pPr>
            <w:r>
              <w:rPr>
                <w:rFonts w:ascii="Arial" w:cs="Arial" w:eastAsia="Arial" w:hAnsi="Arial"/>
                <w:sz w:val="13"/>
                <w:szCs w:val="13"/>
                <w:b w:val="1"/>
                <w:bCs w:val="1"/>
                <w:color w:val="auto"/>
                <w:w w:val="97"/>
              </w:rPr>
              <w:t xml:space="preserve">Year ended 31 </w:t>
            </w:r>
            <w:r>
              <w:rPr>
                <w:rFonts w:ascii="Arial" w:cs="Arial" w:eastAsia="Arial" w:hAnsi="Arial"/>
                <w:sz w:val="13"/>
                <w:szCs w:val="13"/>
                <w:color w:val="auto"/>
                <w:w w:val="97"/>
              </w:rPr>
              <w:t>Year ended 31 December</w:t>
            </w:r>
          </w:p>
        </w:tc>
      </w:tr>
      <w:tr>
        <w:trPr>
          <w:trHeight w:val="169"/>
        </w:trPr>
        <w:tc>
          <w:tcPr>
            <w:tcW w:w="622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2020</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2019</w:t>
            </w:r>
          </w:p>
        </w:tc>
      </w:tr>
      <w:tr>
        <w:trPr>
          <w:trHeight w:val="180"/>
        </w:trPr>
        <w:tc>
          <w:tcPr>
            <w:tcW w:w="6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18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2"/>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188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(43,988)</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(37,036)</w:t>
            </w:r>
          </w:p>
        </w:tc>
        <w:tc>
          <w:tcPr>
            <w:tcW w:w="20" w:type="dxa"/>
            <w:vAlign w:val="bottom"/>
            <w:shd w:val="clear" w:color="auto" w:fill="CCEEFF"/>
          </w:tcPr>
          <w:p>
            <w:pPr>
              <w:spacing w:after="0"/>
              <w:rPr>
                <w:sz w:val="14"/>
                <w:szCs w:val="14"/>
                <w:color w:val="auto"/>
              </w:rPr>
            </w:pPr>
          </w:p>
        </w:tc>
      </w:tr>
      <w:tr>
        <w:trPr>
          <w:trHeight w:val="169"/>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18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34,612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32,016</w:t>
            </w:r>
          </w:p>
        </w:tc>
        <w:tc>
          <w:tcPr>
            <w:tcW w:w="20" w:type="dxa"/>
            <w:vAlign w:val="bottom"/>
            <w:tcBorders>
              <w:bottom w:val="single" w:sz="8" w:color="auto"/>
            </w:tcBorders>
          </w:tcPr>
          <w:p>
            <w:pPr>
              <w:spacing w:after="0"/>
              <w:rPr>
                <w:sz w:val="14"/>
                <w:szCs w:val="14"/>
                <w:color w:val="auto"/>
              </w:rPr>
            </w:pPr>
          </w:p>
        </w:tc>
      </w:tr>
      <w:tr>
        <w:trPr>
          <w:trHeight w:val="183"/>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Retirement benefit plan net obligation (note 20)</w:t>
            </w:r>
          </w:p>
        </w:tc>
        <w:tc>
          <w:tcPr>
            <w:tcW w:w="1880" w:type="dxa"/>
            <w:vAlign w:val="bottom"/>
            <w:tcBorders>
              <w:bottom w:val="single" w:sz="8" w:color="auto"/>
            </w:tcBorders>
            <w:shd w:val="clear" w:color="auto" w:fill="CCEEFF"/>
          </w:tcPr>
          <w:p>
            <w:pPr>
              <w:spacing w:after="0"/>
              <w:rPr>
                <w:sz w:val="15"/>
                <w:szCs w:val="15"/>
                <w:color w:val="auto"/>
              </w:rPr>
            </w:pPr>
          </w:p>
        </w:tc>
        <w:tc>
          <w:tcPr>
            <w:tcW w:w="21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(9,376)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(5,020)</w:t>
            </w:r>
          </w:p>
        </w:tc>
        <w:tc>
          <w:tcPr>
            <w:tcW w:w="20" w:type="dxa"/>
            <w:vAlign w:val="bottom"/>
            <w:tcBorders>
              <w:bottom w:val="single" w:sz="8" w:color="auto"/>
            </w:tcBorders>
            <w:shd w:val="clear" w:color="auto" w:fill="CCEEFF"/>
          </w:tcPr>
          <w:p>
            <w:pPr>
              <w:spacing w:after="0"/>
              <w:rPr>
                <w:sz w:val="15"/>
                <w:szCs w:val="15"/>
                <w:color w:val="auto"/>
              </w:rPr>
            </w:pPr>
          </w:p>
        </w:tc>
      </w:tr>
      <w:tr>
        <w:trPr>
          <w:trHeight w:val="420"/>
        </w:trPr>
        <w:tc>
          <w:tcPr>
            <w:tcW w:w="6220" w:type="dxa"/>
            <w:vAlign w:val="bottom"/>
          </w:tcPr>
          <w:p>
            <w:pPr>
              <w:spacing w:after="0"/>
              <w:rPr>
                <w:sz w:val="20"/>
                <w:szCs w:val="20"/>
                <w:color w:val="auto"/>
              </w:rPr>
            </w:pPr>
            <w:r>
              <w:rPr>
                <w:rFonts w:ascii="Arial" w:cs="Arial" w:eastAsia="Arial" w:hAnsi="Arial"/>
                <w:sz w:val="13"/>
                <w:szCs w:val="13"/>
                <w:color w:val="auto"/>
              </w:rPr>
              <w:t>Movement in the net benefit obligation recognised in non-current other liabilities was as follows:</w:t>
            </w:r>
          </w:p>
        </w:tc>
        <w:tc>
          <w:tcPr>
            <w:tcW w:w="1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62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55"/>
        </w:trPr>
        <w:tc>
          <w:tcPr>
            <w:tcW w:w="622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w:t>
            </w:r>
          </w:p>
        </w:tc>
        <w:tc>
          <w:tcPr>
            <w:tcW w:w="2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77"/>
        </w:trPr>
        <w:tc>
          <w:tcPr>
            <w:tcW w:w="62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Obligations</w:t>
            </w:r>
          </w:p>
        </w:tc>
        <w:tc>
          <w:tcPr>
            <w:tcW w:w="21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w w:val="99"/>
              </w:rPr>
              <w:t>Fair Value of Plan Assets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r>
      <w:tr>
        <w:trPr>
          <w:trHeight w:val="182"/>
        </w:trPr>
        <w:tc>
          <w:tcPr>
            <w:tcW w:w="62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ind w:left="1240"/>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209"/>
        </w:trPr>
        <w:tc>
          <w:tcPr>
            <w:tcW w:w="6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68"/>
        </w:trPr>
        <w:tc>
          <w:tcPr>
            <w:tcW w:w="622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1880" w:type="dxa"/>
            <w:vAlign w:val="bottom"/>
          </w:tcPr>
          <w:p>
            <w:pPr>
              <w:jc w:val="right"/>
              <w:ind w:right="36"/>
              <w:spacing w:after="0"/>
              <w:rPr>
                <w:sz w:val="20"/>
                <w:szCs w:val="20"/>
                <w:color w:val="auto"/>
              </w:rPr>
            </w:pPr>
            <w:r>
              <w:rPr>
                <w:rFonts w:ascii="Arial" w:cs="Arial" w:eastAsia="Arial" w:hAnsi="Arial"/>
                <w:sz w:val="13"/>
                <w:szCs w:val="13"/>
                <w:color w:val="auto"/>
              </w:rPr>
              <w:t>(37,036)</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32,016</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(5,020)</w:t>
            </w:r>
          </w:p>
        </w:tc>
        <w:tc>
          <w:tcPr>
            <w:tcW w:w="20" w:type="dxa"/>
            <w:vAlign w:val="bottom"/>
          </w:tcPr>
          <w:p>
            <w:pPr>
              <w:spacing w:after="0"/>
              <w:rPr>
                <w:sz w:val="14"/>
                <w:szCs w:val="14"/>
                <w:color w:val="auto"/>
              </w:rPr>
            </w:pPr>
          </w:p>
        </w:tc>
      </w:tr>
      <w:tr>
        <w:trPr>
          <w:trHeight w:val="172"/>
        </w:trPr>
        <w:tc>
          <w:tcPr>
            <w:tcW w:w="6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1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(100)</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4"/>
                <w:szCs w:val="14"/>
                <w:color w:val="auto"/>
              </w:rPr>
            </w:pPr>
          </w:p>
        </w:tc>
      </w:tr>
      <w:tr>
        <w:trPr>
          <w:trHeight w:val="168"/>
        </w:trPr>
        <w:tc>
          <w:tcPr>
            <w:tcW w:w="62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Interest expense/(income)</w:t>
            </w:r>
          </w:p>
        </w:tc>
        <w:tc>
          <w:tcPr>
            <w:tcW w:w="1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(746)</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644</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(102)</w:t>
            </w:r>
          </w:p>
        </w:tc>
        <w:tc>
          <w:tcPr>
            <w:tcW w:w="20" w:type="dxa"/>
            <w:vAlign w:val="bottom"/>
          </w:tcPr>
          <w:p>
            <w:pPr>
              <w:spacing w:after="0"/>
              <w:rPr>
                <w:sz w:val="14"/>
                <w:szCs w:val="14"/>
                <w:color w:val="auto"/>
              </w:rPr>
            </w:pPr>
          </w:p>
        </w:tc>
      </w:tr>
      <w:tr>
        <w:trPr>
          <w:trHeight w:val="162"/>
        </w:trPr>
        <w:tc>
          <w:tcPr>
            <w:tcW w:w="622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(37,882)</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32,660</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(5,222)</w:t>
            </w:r>
          </w:p>
        </w:tc>
        <w:tc>
          <w:tcPr>
            <w:tcW w:w="20" w:type="dxa"/>
            <w:vAlign w:val="bottom"/>
          </w:tcPr>
          <w:p>
            <w:pPr>
              <w:spacing w:after="0"/>
              <w:rPr>
                <w:sz w:val="14"/>
                <w:szCs w:val="14"/>
                <w:color w:val="auto"/>
              </w:rPr>
            </w:pPr>
          </w:p>
        </w:tc>
      </w:tr>
      <w:tr>
        <w:trPr>
          <w:trHeight w:val="160"/>
        </w:trPr>
        <w:tc>
          <w:tcPr>
            <w:tcW w:w="622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1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1,448</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1,448</w:t>
            </w:r>
          </w:p>
        </w:tc>
        <w:tc>
          <w:tcPr>
            <w:tcW w:w="20" w:type="dxa"/>
            <w:vAlign w:val="bottom"/>
          </w:tcPr>
          <w:p>
            <w:pPr>
              <w:spacing w:after="0"/>
              <w:rPr>
                <w:sz w:val="14"/>
                <w:szCs w:val="14"/>
                <w:color w:val="auto"/>
              </w:rPr>
            </w:pPr>
          </w:p>
        </w:tc>
      </w:tr>
      <w:tr>
        <w:trPr>
          <w:trHeight w:val="168"/>
        </w:trPr>
        <w:tc>
          <w:tcPr>
            <w:tcW w:w="6220" w:type="dxa"/>
            <w:vAlign w:val="bottom"/>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880" w:type="dxa"/>
            <w:vAlign w:val="bottom"/>
          </w:tcPr>
          <w:p>
            <w:pPr>
              <w:jc w:val="right"/>
              <w:ind w:right="36"/>
              <w:spacing w:after="0"/>
              <w:rPr>
                <w:sz w:val="20"/>
                <w:szCs w:val="20"/>
                <w:color w:val="auto"/>
              </w:rPr>
            </w:pPr>
            <w:r>
              <w:rPr>
                <w:rFonts w:ascii="Arial" w:cs="Arial" w:eastAsia="Arial" w:hAnsi="Arial"/>
                <w:sz w:val="13"/>
                <w:szCs w:val="13"/>
                <w:color w:val="auto"/>
              </w:rPr>
              <w:t>187</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187</w:t>
            </w:r>
          </w:p>
        </w:tc>
        <w:tc>
          <w:tcPr>
            <w:tcW w:w="20" w:type="dxa"/>
            <w:vAlign w:val="bottom"/>
          </w:tcPr>
          <w:p>
            <w:pPr>
              <w:spacing w:after="0"/>
              <w:rPr>
                <w:sz w:val="14"/>
                <w:szCs w:val="14"/>
                <w:color w:val="auto"/>
              </w:rPr>
            </w:pPr>
          </w:p>
        </w:tc>
      </w:tr>
      <w:tr>
        <w:trPr>
          <w:trHeight w:val="172"/>
        </w:trPr>
        <w:tc>
          <w:tcPr>
            <w:tcW w:w="6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(6,039)</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(6,039)</w:t>
            </w:r>
          </w:p>
        </w:tc>
        <w:tc>
          <w:tcPr>
            <w:tcW w:w="20" w:type="dxa"/>
            <w:vAlign w:val="bottom"/>
          </w:tcPr>
          <w:p>
            <w:pPr>
              <w:spacing w:after="0"/>
              <w:rPr>
                <w:sz w:val="14"/>
                <w:szCs w:val="14"/>
                <w:color w:val="auto"/>
              </w:rPr>
            </w:pPr>
          </w:p>
        </w:tc>
      </w:tr>
      <w:tr>
        <w:trPr>
          <w:trHeight w:val="168"/>
        </w:trPr>
        <w:tc>
          <w:tcPr>
            <w:tcW w:w="62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Experience gain or loss</w:t>
            </w:r>
          </w:p>
        </w:tc>
        <w:tc>
          <w:tcPr>
            <w:tcW w:w="1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558</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558</w:t>
            </w:r>
          </w:p>
        </w:tc>
        <w:tc>
          <w:tcPr>
            <w:tcW w:w="20" w:type="dxa"/>
            <w:vAlign w:val="bottom"/>
          </w:tcPr>
          <w:p>
            <w:pPr>
              <w:spacing w:after="0"/>
              <w:rPr>
                <w:sz w:val="14"/>
                <w:szCs w:val="14"/>
                <w:color w:val="auto"/>
              </w:rPr>
            </w:pPr>
          </w:p>
        </w:tc>
      </w:tr>
      <w:tr>
        <w:trPr>
          <w:trHeight w:val="162"/>
        </w:trPr>
        <w:tc>
          <w:tcPr>
            <w:tcW w:w="622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(5,294)</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1,448</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(3,846)</w:t>
            </w:r>
          </w:p>
        </w:tc>
        <w:tc>
          <w:tcPr>
            <w:tcW w:w="20" w:type="dxa"/>
            <w:vAlign w:val="bottom"/>
          </w:tcPr>
          <w:p>
            <w:pPr>
              <w:spacing w:after="0"/>
              <w:rPr>
                <w:sz w:val="14"/>
                <w:szCs w:val="14"/>
                <w:color w:val="auto"/>
              </w:rPr>
            </w:pPr>
          </w:p>
        </w:tc>
      </w:tr>
      <w:tr>
        <w:trPr>
          <w:trHeight w:val="158"/>
        </w:trPr>
        <w:tc>
          <w:tcPr>
            <w:tcW w:w="6220" w:type="dxa"/>
            <w:vAlign w:val="bottom"/>
          </w:tcPr>
          <w:p>
            <w:pPr>
              <w:ind w:left="60"/>
              <w:spacing w:after="0"/>
              <w:rPr>
                <w:sz w:val="20"/>
                <w:szCs w:val="20"/>
                <w:color w:val="auto"/>
              </w:rPr>
            </w:pPr>
            <w:r>
              <w:rPr>
                <w:rFonts w:ascii="Arial" w:cs="Arial" w:eastAsia="Arial" w:hAnsi="Arial"/>
                <w:sz w:val="13"/>
                <w:szCs w:val="13"/>
                <w:color w:val="auto"/>
              </w:rPr>
              <w:t>Exchange differences</w:t>
            </w:r>
          </w:p>
        </w:tc>
        <w:tc>
          <w:tcPr>
            <w:tcW w:w="1880" w:type="dxa"/>
            <w:vAlign w:val="bottom"/>
          </w:tcPr>
          <w:p>
            <w:pPr>
              <w:jc w:val="right"/>
              <w:ind w:right="36"/>
              <w:spacing w:after="0"/>
              <w:rPr>
                <w:sz w:val="20"/>
                <w:szCs w:val="20"/>
                <w:color w:val="auto"/>
              </w:rPr>
            </w:pPr>
            <w:r>
              <w:rPr>
                <w:rFonts w:ascii="Arial" w:cs="Arial" w:eastAsia="Arial" w:hAnsi="Arial"/>
                <w:sz w:val="13"/>
                <w:szCs w:val="13"/>
                <w:color w:val="auto"/>
              </w:rPr>
              <w:t>(1,514)</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1,097</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3"/>
                <w:szCs w:val="13"/>
                <w:color w:val="auto"/>
              </w:rPr>
            </w:pPr>
          </w:p>
        </w:tc>
      </w:tr>
      <w:tr>
        <w:trPr>
          <w:trHeight w:val="172"/>
        </w:trPr>
        <w:tc>
          <w:tcPr>
            <w:tcW w:w="62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Contributions:</w:t>
            </w:r>
          </w:p>
        </w:tc>
        <w:tc>
          <w:tcPr>
            <w:tcW w:w="18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6220" w:type="dxa"/>
            <w:vAlign w:val="bottom"/>
          </w:tcPr>
          <w:p>
            <w:pPr>
              <w:ind w:left="60"/>
              <w:spacing w:after="0"/>
              <w:rPr>
                <w:sz w:val="20"/>
                <w:szCs w:val="20"/>
                <w:color w:val="auto"/>
              </w:rPr>
            </w:pPr>
            <w:r>
              <w:rPr>
                <w:rFonts w:ascii="Arial" w:cs="Arial" w:eastAsia="Arial" w:hAnsi="Arial"/>
                <w:sz w:val="13"/>
                <w:szCs w:val="13"/>
                <w:color w:val="auto"/>
              </w:rPr>
              <w:t>- Employers</w:t>
            </w:r>
          </w:p>
        </w:tc>
        <w:tc>
          <w:tcPr>
            <w:tcW w:w="1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109</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109</w:t>
            </w:r>
          </w:p>
        </w:tc>
        <w:tc>
          <w:tcPr>
            <w:tcW w:w="20" w:type="dxa"/>
            <w:vAlign w:val="bottom"/>
          </w:tcPr>
          <w:p>
            <w:pPr>
              <w:spacing w:after="0"/>
              <w:rPr>
                <w:sz w:val="14"/>
                <w:szCs w:val="14"/>
                <w:color w:val="auto"/>
              </w:rPr>
            </w:pPr>
          </w:p>
        </w:tc>
      </w:tr>
      <w:tr>
        <w:trPr>
          <w:trHeight w:val="172"/>
        </w:trPr>
        <w:tc>
          <w:tcPr>
            <w:tcW w:w="6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 Plan participants</w:t>
            </w:r>
          </w:p>
        </w:tc>
        <w:tc>
          <w:tcPr>
            <w:tcW w:w="1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22</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8"/>
        </w:trPr>
        <w:tc>
          <w:tcPr>
            <w:tcW w:w="6220" w:type="dxa"/>
            <w:vAlign w:val="bottom"/>
          </w:tcPr>
          <w:p>
            <w:pPr>
              <w:ind w:left="60"/>
              <w:spacing w:after="0"/>
              <w:rPr>
                <w:sz w:val="20"/>
                <w:szCs w:val="20"/>
                <w:color w:val="auto"/>
              </w:rPr>
            </w:pPr>
            <w:r>
              <w:rPr>
                <w:rFonts w:ascii="Arial" w:cs="Arial" w:eastAsia="Arial" w:hAnsi="Arial"/>
                <w:sz w:val="13"/>
                <w:szCs w:val="13"/>
                <w:color w:val="auto"/>
              </w:rPr>
              <w:t>Benefit payments</w:t>
            </w:r>
          </w:p>
        </w:tc>
        <w:tc>
          <w:tcPr>
            <w:tcW w:w="1880" w:type="dxa"/>
            <w:vAlign w:val="bottom"/>
          </w:tcPr>
          <w:p>
            <w:pPr>
              <w:jc w:val="right"/>
              <w:ind w:right="36"/>
              <w:spacing w:after="0"/>
              <w:rPr>
                <w:sz w:val="20"/>
                <w:szCs w:val="20"/>
                <w:color w:val="auto"/>
              </w:rPr>
            </w:pPr>
            <w:r>
              <w:rPr>
                <w:rFonts w:ascii="Arial" w:cs="Arial" w:eastAsia="Arial" w:hAnsi="Arial"/>
                <w:sz w:val="13"/>
                <w:szCs w:val="13"/>
                <w:color w:val="auto"/>
              </w:rPr>
              <w:t>724</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(724)</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62"/>
        </w:trPr>
        <w:tc>
          <w:tcPr>
            <w:tcW w:w="6220" w:type="dxa"/>
            <w:vAlign w:val="bottom"/>
            <w:tcBorders>
              <w:top w:val="single" w:sz="8" w:color="auto"/>
              <w:bottom w:val="single" w:sz="8" w:color="auto"/>
            </w:tcBorders>
            <w:shd w:val="clear" w:color="auto" w:fill="CCEEFF"/>
          </w:tcPr>
          <w:p>
            <w:pPr>
              <w:spacing w:after="0"/>
              <w:rPr>
                <w:sz w:val="14"/>
                <w:szCs w:val="14"/>
                <w:color w:val="auto"/>
              </w:rPr>
            </w:pPr>
          </w:p>
        </w:tc>
        <w:tc>
          <w:tcPr>
            <w:tcW w:w="18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702</w:t>
            </w:r>
          </w:p>
        </w:tc>
        <w:tc>
          <w:tcPr>
            <w:tcW w:w="21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(593)</w:t>
            </w:r>
          </w:p>
        </w:tc>
        <w:tc>
          <w:tcPr>
            <w:tcW w:w="9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109</w:t>
            </w:r>
          </w:p>
        </w:tc>
        <w:tc>
          <w:tcPr>
            <w:tcW w:w="20" w:type="dxa"/>
            <w:vAlign w:val="bottom"/>
          </w:tcPr>
          <w:p>
            <w:pPr>
              <w:spacing w:after="0"/>
              <w:rPr>
                <w:sz w:val="14"/>
                <w:szCs w:val="14"/>
                <w:color w:val="auto"/>
              </w:rPr>
            </w:pPr>
          </w:p>
        </w:tc>
      </w:tr>
      <w:tr>
        <w:trPr>
          <w:trHeight w:val="16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1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(43,988)</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34,612</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(9,376)</w:t>
            </w: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696" w:right="3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w:t>
            </w:r>
          </w:p>
        </w:tc>
        <w:tc>
          <w:tcPr>
            <w:tcW w:w="2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66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Obligations</w:t>
            </w:r>
          </w:p>
        </w:tc>
        <w:tc>
          <w:tcPr>
            <w:tcW w:w="21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w w:val="99"/>
              </w:rPr>
              <w:t>Fair Value of Plan Assets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r>
      <w:tr>
        <w:trPr>
          <w:trHeight w:val="182"/>
        </w:trPr>
        <w:tc>
          <w:tcPr>
            <w:tcW w:w="66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209"/>
        </w:trPr>
        <w:tc>
          <w:tcPr>
            <w:tcW w:w="6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68"/>
        </w:trPr>
        <w:tc>
          <w:tcPr>
            <w:tcW w:w="6620" w:type="dxa"/>
            <w:vAlign w:val="bottom"/>
          </w:tcPr>
          <w:p>
            <w:pPr>
              <w:ind w:left="20"/>
              <w:spacing w:after="0"/>
              <w:rPr>
                <w:sz w:val="20"/>
                <w:szCs w:val="20"/>
                <w:color w:val="auto"/>
              </w:rPr>
            </w:pPr>
            <w:r>
              <w:rPr>
                <w:rFonts w:ascii="Arial" w:cs="Arial" w:eastAsia="Arial" w:hAnsi="Arial"/>
                <w:sz w:val="13"/>
                <w:szCs w:val="13"/>
                <w:color w:val="auto"/>
              </w:rPr>
              <w:t>At 1 January 2019</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(30,045)</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27,297</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(2,748)</w:t>
            </w:r>
          </w:p>
        </w:tc>
        <w:tc>
          <w:tcPr>
            <w:tcW w:w="20" w:type="dxa"/>
            <w:vAlign w:val="bottom"/>
          </w:tcPr>
          <w:p>
            <w:pPr>
              <w:spacing w:after="0"/>
              <w:rPr>
                <w:sz w:val="14"/>
                <w:szCs w:val="14"/>
                <w:color w:val="auto"/>
              </w:rPr>
            </w:pPr>
          </w:p>
        </w:tc>
      </w:tr>
      <w:tr>
        <w:trPr>
          <w:trHeight w:val="172"/>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(107)</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(107)</w:t>
            </w:r>
          </w:p>
        </w:tc>
        <w:tc>
          <w:tcPr>
            <w:tcW w:w="20" w:type="dxa"/>
            <w:vAlign w:val="bottom"/>
          </w:tcPr>
          <w:p>
            <w:pPr>
              <w:spacing w:after="0"/>
              <w:rPr>
                <w:sz w:val="14"/>
                <w:szCs w:val="14"/>
                <w:color w:val="auto"/>
              </w:rPr>
            </w:pPr>
          </w:p>
        </w:tc>
      </w:tr>
      <w:tr>
        <w:trPr>
          <w:trHeight w:val="168"/>
        </w:trPr>
        <w:tc>
          <w:tcPr>
            <w:tcW w:w="6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Interest expense/(income)</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(867)</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790</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(77)</w:t>
            </w:r>
          </w:p>
        </w:tc>
        <w:tc>
          <w:tcPr>
            <w:tcW w:w="20" w:type="dxa"/>
            <w:vAlign w:val="bottom"/>
          </w:tcPr>
          <w:p>
            <w:pPr>
              <w:spacing w:after="0"/>
              <w:rPr>
                <w:sz w:val="14"/>
                <w:szCs w:val="14"/>
                <w:color w:val="auto"/>
              </w:rPr>
            </w:pPr>
          </w:p>
        </w:tc>
      </w:tr>
      <w:tr>
        <w:trPr>
          <w:trHeight w:val="162"/>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(31,019)</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28,087</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(2,932)</w:t>
            </w:r>
          </w:p>
        </w:tc>
        <w:tc>
          <w:tcPr>
            <w:tcW w:w="20" w:type="dxa"/>
            <w:vAlign w:val="bottom"/>
          </w:tcPr>
          <w:p>
            <w:pPr>
              <w:spacing w:after="0"/>
              <w:rPr>
                <w:sz w:val="14"/>
                <w:szCs w:val="14"/>
                <w:color w:val="auto"/>
              </w:rPr>
            </w:pPr>
          </w:p>
        </w:tc>
      </w:tr>
      <w:tr>
        <w:trPr>
          <w:trHeight w:val="160"/>
        </w:trPr>
        <w:tc>
          <w:tcPr>
            <w:tcW w:w="662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1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2,714</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2,714</w:t>
            </w:r>
          </w:p>
        </w:tc>
        <w:tc>
          <w:tcPr>
            <w:tcW w:w="20" w:type="dxa"/>
            <w:vAlign w:val="bottom"/>
          </w:tcPr>
          <w:p>
            <w:pPr>
              <w:spacing w:after="0"/>
              <w:rPr>
                <w:sz w:val="14"/>
                <w:szCs w:val="14"/>
                <w:color w:val="auto"/>
              </w:rPr>
            </w:pPr>
          </w:p>
        </w:tc>
      </w:tr>
      <w:tr>
        <w:trPr>
          <w:trHeight w:val="168"/>
        </w:trPr>
        <w:tc>
          <w:tcPr>
            <w:tcW w:w="6620" w:type="dxa"/>
            <w:vAlign w:val="bottom"/>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872</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872</w:t>
            </w:r>
          </w:p>
        </w:tc>
        <w:tc>
          <w:tcPr>
            <w:tcW w:w="20" w:type="dxa"/>
            <w:vAlign w:val="bottom"/>
          </w:tcPr>
          <w:p>
            <w:pPr>
              <w:spacing w:after="0"/>
              <w:rPr>
                <w:sz w:val="14"/>
                <w:szCs w:val="14"/>
                <w:color w:val="auto"/>
              </w:rPr>
            </w:pPr>
          </w:p>
        </w:tc>
      </w:tr>
      <w:tr>
        <w:trPr>
          <w:trHeight w:val="170"/>
        </w:trPr>
        <w:tc>
          <w:tcPr>
            <w:tcW w:w="6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(5,628)</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(5,628)</w:t>
            </w:r>
          </w:p>
        </w:tc>
        <w:tc>
          <w:tcPr>
            <w:tcW w:w="20" w:type="dxa"/>
            <w:vAlign w:val="bottom"/>
          </w:tcPr>
          <w:p>
            <w:pPr>
              <w:spacing w:after="0"/>
              <w:rPr>
                <w:sz w:val="14"/>
                <w:szCs w:val="14"/>
                <w:color w:val="auto"/>
              </w:rPr>
            </w:pPr>
          </w:p>
        </w:tc>
      </w:tr>
      <w:tr>
        <w:trPr>
          <w:trHeight w:val="162"/>
        </w:trPr>
        <w:tc>
          <w:tcPr>
            <w:tcW w:w="66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(4,756)</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2,714</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(2,042)</w:t>
            </w:r>
          </w:p>
        </w:tc>
        <w:tc>
          <w:tcPr>
            <w:tcW w:w="20" w:type="dxa"/>
            <w:vAlign w:val="bottom"/>
          </w:tcPr>
          <w:p>
            <w:pPr>
              <w:spacing w:after="0"/>
              <w:rPr>
                <w:sz w:val="14"/>
                <w:szCs w:val="14"/>
                <w:color w:val="auto"/>
              </w:rPr>
            </w:pPr>
          </w:p>
        </w:tc>
      </w:tr>
      <w:tr>
        <w:trPr>
          <w:trHeight w:val="161"/>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Exchange differences</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(1,414)</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1,220</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(194)</w:t>
            </w:r>
          </w:p>
        </w:tc>
        <w:tc>
          <w:tcPr>
            <w:tcW w:w="20" w:type="dxa"/>
            <w:vAlign w:val="bottom"/>
          </w:tcPr>
          <w:p>
            <w:pPr>
              <w:spacing w:after="0"/>
              <w:rPr>
                <w:sz w:val="13"/>
                <w:szCs w:val="13"/>
                <w:color w:val="auto"/>
              </w:rPr>
            </w:pPr>
          </w:p>
        </w:tc>
      </w:tr>
      <w:tr>
        <w:trPr>
          <w:trHeight w:val="169"/>
        </w:trPr>
        <w:tc>
          <w:tcPr>
            <w:tcW w:w="6620" w:type="dxa"/>
            <w:vAlign w:val="bottom"/>
          </w:tcPr>
          <w:p>
            <w:pPr>
              <w:ind w:left="60"/>
              <w:spacing w:after="0"/>
              <w:rPr>
                <w:sz w:val="20"/>
                <w:szCs w:val="20"/>
                <w:color w:val="auto"/>
              </w:rPr>
            </w:pPr>
            <w:r>
              <w:rPr>
                <w:rFonts w:ascii="Arial" w:cs="Arial" w:eastAsia="Arial" w:hAnsi="Arial"/>
                <w:sz w:val="13"/>
                <w:szCs w:val="13"/>
                <w:b w:val="1"/>
                <w:bCs w:val="1"/>
                <w:color w:val="auto"/>
              </w:rPr>
              <w:t>Contributions:</w:t>
            </w:r>
          </w:p>
        </w:tc>
        <w:tc>
          <w:tcPr>
            <w:tcW w:w="1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 Employers</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148</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148</w:t>
            </w:r>
          </w:p>
        </w:tc>
        <w:tc>
          <w:tcPr>
            <w:tcW w:w="20" w:type="dxa"/>
            <w:vAlign w:val="bottom"/>
          </w:tcPr>
          <w:p>
            <w:pPr>
              <w:spacing w:after="0"/>
              <w:rPr>
                <w:sz w:val="14"/>
                <w:szCs w:val="14"/>
                <w:color w:val="auto"/>
              </w:rPr>
            </w:pPr>
          </w:p>
        </w:tc>
      </w:tr>
      <w:tr>
        <w:trPr>
          <w:trHeight w:val="168"/>
        </w:trPr>
        <w:tc>
          <w:tcPr>
            <w:tcW w:w="6620" w:type="dxa"/>
            <w:vAlign w:val="bottom"/>
          </w:tcPr>
          <w:p>
            <w:pPr>
              <w:ind w:left="60"/>
              <w:spacing w:after="0"/>
              <w:rPr>
                <w:sz w:val="20"/>
                <w:szCs w:val="20"/>
                <w:color w:val="auto"/>
              </w:rPr>
            </w:pPr>
            <w:r>
              <w:rPr>
                <w:rFonts w:ascii="Arial" w:cs="Arial" w:eastAsia="Arial" w:hAnsi="Arial"/>
                <w:sz w:val="13"/>
                <w:szCs w:val="13"/>
                <w:color w:val="auto"/>
              </w:rPr>
              <w:t>- Plan participants</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(24)</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24</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70"/>
        </w:trPr>
        <w:tc>
          <w:tcPr>
            <w:tcW w:w="6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Benefit payments</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177</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(177)</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2"/>
        </w:trPr>
        <w:tc>
          <w:tcPr>
            <w:tcW w:w="66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153</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(5)</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148</w:t>
            </w:r>
          </w:p>
        </w:tc>
        <w:tc>
          <w:tcPr>
            <w:tcW w:w="20" w:type="dxa"/>
            <w:vAlign w:val="bottom"/>
          </w:tcPr>
          <w:p>
            <w:pPr>
              <w:spacing w:after="0"/>
              <w:rPr>
                <w:sz w:val="14"/>
                <w:szCs w:val="14"/>
                <w:color w:val="auto"/>
              </w:rPr>
            </w:pPr>
          </w:p>
        </w:tc>
      </w:tr>
      <w:tr>
        <w:trPr>
          <w:trHeight w:val="160"/>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(37,036)</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32,016</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(5,020)</w:t>
            </w:r>
          </w:p>
        </w:tc>
        <w:tc>
          <w:tcPr>
            <w:tcW w:w="20" w:type="dxa"/>
            <w:vAlign w:val="bottom"/>
          </w:tcPr>
          <w:p>
            <w:pPr>
              <w:spacing w:after="0"/>
              <w:rPr>
                <w:sz w:val="13"/>
                <w:szCs w:val="13"/>
                <w:color w:val="auto"/>
              </w:rPr>
            </w:pPr>
          </w:p>
        </w:tc>
      </w:tr>
      <w:tr>
        <w:trPr>
          <w:trHeight w:val="400"/>
        </w:trPr>
        <w:tc>
          <w:tcPr>
            <w:tcW w:w="6620" w:type="dxa"/>
            <w:vAlign w:val="bottom"/>
          </w:tcPr>
          <w:p>
            <w:pPr>
              <w:spacing w:after="0"/>
              <w:rPr>
                <w:sz w:val="20"/>
                <w:szCs w:val="20"/>
                <w:color w:val="auto"/>
              </w:rPr>
            </w:pPr>
            <w:r>
              <w:rPr>
                <w:rFonts w:ascii="Arial" w:cs="Arial" w:eastAsia="Arial" w:hAnsi="Arial"/>
                <w:sz w:val="13"/>
                <w:szCs w:val="13"/>
                <w:color w:val="auto"/>
              </w:rPr>
              <w:t>Re-measurements are recognised in the Consolidated Statement of Comprehensive Income as follows:</w:t>
            </w:r>
          </w:p>
        </w:tc>
        <w:tc>
          <w:tcPr>
            <w:tcW w:w="1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66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180" w:type="dxa"/>
            <w:vAlign w:val="bottom"/>
            <w:gridSpan w:val="3"/>
          </w:tcPr>
          <w:p>
            <w:pPr>
              <w:spacing w:after="0"/>
              <w:rPr>
                <w:sz w:val="7"/>
                <w:szCs w:val="7"/>
                <w:color w:val="auto"/>
              </w:rPr>
            </w:pPr>
          </w:p>
        </w:tc>
      </w:tr>
      <w:tr>
        <w:trPr>
          <w:trHeight w:val="127"/>
        </w:trPr>
        <w:tc>
          <w:tcPr>
            <w:tcW w:w="66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18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2020</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2019</w:t>
            </w:r>
          </w:p>
        </w:tc>
      </w:tr>
      <w:tr>
        <w:trPr>
          <w:trHeight w:val="160"/>
        </w:trPr>
        <w:tc>
          <w:tcPr>
            <w:tcW w:w="6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8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6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83"/>
        </w:trPr>
        <w:tc>
          <w:tcPr>
            <w:tcW w:w="6620" w:type="dxa"/>
            <w:vAlign w:val="bottom"/>
          </w:tcPr>
          <w:p>
            <w:pPr>
              <w:ind w:left="20"/>
              <w:spacing w:after="0"/>
              <w:rPr>
                <w:sz w:val="20"/>
                <w:szCs w:val="20"/>
                <w:color w:val="auto"/>
              </w:rPr>
            </w:pPr>
            <w:r>
              <w:rPr>
                <w:rFonts w:ascii="Arial" w:cs="Arial" w:eastAsia="Arial" w:hAnsi="Arial"/>
                <w:sz w:val="13"/>
                <w:szCs w:val="13"/>
                <w:color w:val="auto"/>
              </w:rPr>
              <w:t>Return on plan assets (excl. amounts included in interest income/expense)</w:t>
            </w:r>
          </w:p>
        </w:tc>
        <w:tc>
          <w:tcPr>
            <w:tcW w:w="1480" w:type="dxa"/>
            <w:vAlign w:val="bottom"/>
          </w:tcPr>
          <w:p>
            <w:pPr>
              <w:spacing w:after="0"/>
              <w:rPr>
                <w:sz w:val="15"/>
                <w:szCs w:val="15"/>
                <w:color w:val="auto"/>
              </w:rPr>
            </w:pPr>
          </w:p>
        </w:tc>
        <w:tc>
          <w:tcPr>
            <w:tcW w:w="2180" w:type="dxa"/>
            <w:vAlign w:val="bottom"/>
          </w:tcPr>
          <w:p>
            <w:pPr>
              <w:jc w:val="right"/>
              <w:ind w:right="476"/>
              <w:spacing w:after="0"/>
              <w:rPr>
                <w:sz w:val="20"/>
                <w:szCs w:val="20"/>
                <w:color w:val="auto"/>
              </w:rPr>
            </w:pPr>
            <w:r>
              <w:rPr>
                <w:rFonts w:ascii="Arial" w:cs="Arial" w:eastAsia="Arial" w:hAnsi="Arial"/>
                <w:sz w:val="13"/>
                <w:szCs w:val="13"/>
                <w:b w:val="1"/>
                <w:bCs w:val="1"/>
                <w:color w:val="auto"/>
              </w:rPr>
              <w:t>1,448</w:t>
            </w:r>
          </w:p>
        </w:tc>
        <w:tc>
          <w:tcPr>
            <w:tcW w:w="980" w:type="dxa"/>
            <w:vAlign w:val="bottom"/>
          </w:tcPr>
          <w:p>
            <w:pPr>
              <w:jc w:val="right"/>
              <w:spacing w:after="0"/>
              <w:rPr>
                <w:sz w:val="20"/>
                <w:szCs w:val="20"/>
                <w:color w:val="auto"/>
              </w:rPr>
            </w:pPr>
            <w:r>
              <w:rPr>
                <w:rFonts w:ascii="Arial" w:cs="Arial" w:eastAsia="Arial" w:hAnsi="Arial"/>
                <w:sz w:val="13"/>
                <w:szCs w:val="13"/>
                <w:color w:val="auto"/>
              </w:rPr>
              <w:t>2,714</w:t>
            </w:r>
          </w:p>
        </w:tc>
        <w:tc>
          <w:tcPr>
            <w:tcW w:w="20" w:type="dxa"/>
            <w:vAlign w:val="bottom"/>
          </w:tcPr>
          <w:p>
            <w:pPr>
              <w:spacing w:after="0"/>
              <w:rPr>
                <w:sz w:val="15"/>
                <w:szCs w:val="15"/>
                <w:color w:val="auto"/>
              </w:rPr>
            </w:pPr>
          </w:p>
        </w:tc>
      </w:tr>
      <w:tr>
        <w:trPr>
          <w:trHeight w:val="177"/>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480" w:type="dxa"/>
            <w:vAlign w:val="bottom"/>
            <w:shd w:val="clear" w:color="auto" w:fill="CCEEFF"/>
          </w:tcPr>
          <w:p>
            <w:pPr>
              <w:spacing w:after="0"/>
              <w:rPr>
                <w:sz w:val="15"/>
                <w:szCs w:val="15"/>
                <w:color w:val="auto"/>
              </w:rPr>
            </w:pPr>
          </w:p>
        </w:tc>
        <w:tc>
          <w:tcPr>
            <w:tcW w:w="218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187</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w:t>
            </w:r>
          </w:p>
        </w:tc>
        <w:tc>
          <w:tcPr>
            <w:tcW w:w="20" w:type="dxa"/>
            <w:vAlign w:val="bottom"/>
            <w:shd w:val="clear" w:color="auto" w:fill="CCEEFF"/>
          </w:tcPr>
          <w:p>
            <w:pPr>
              <w:spacing w:after="0"/>
              <w:rPr>
                <w:sz w:val="15"/>
                <w:szCs w:val="15"/>
                <w:color w:val="auto"/>
              </w:rPr>
            </w:pPr>
          </w:p>
        </w:tc>
      </w:tr>
      <w:tr>
        <w:trPr>
          <w:trHeight w:val="169"/>
        </w:trPr>
        <w:tc>
          <w:tcPr>
            <w:tcW w:w="662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480" w:type="dxa"/>
            <w:vAlign w:val="bottom"/>
          </w:tcPr>
          <w:p>
            <w:pPr>
              <w:spacing w:after="0"/>
              <w:rPr>
                <w:sz w:val="14"/>
                <w:szCs w:val="14"/>
                <w:color w:val="auto"/>
              </w:rPr>
            </w:pPr>
          </w:p>
        </w:tc>
        <w:tc>
          <w:tcPr>
            <w:tcW w:w="2180" w:type="dxa"/>
            <w:vAlign w:val="bottom"/>
          </w:tcPr>
          <w:p>
            <w:pPr>
              <w:jc w:val="right"/>
              <w:ind w:right="456"/>
              <w:spacing w:after="0"/>
              <w:rPr>
                <w:sz w:val="20"/>
                <w:szCs w:val="20"/>
                <w:color w:val="auto"/>
              </w:rPr>
            </w:pPr>
            <w:r>
              <w:rPr>
                <w:rFonts w:ascii="Arial" w:cs="Arial" w:eastAsia="Arial" w:hAnsi="Arial"/>
                <w:sz w:val="13"/>
                <w:szCs w:val="13"/>
                <w:b w:val="1"/>
                <w:bCs w:val="1"/>
                <w:color w:val="auto"/>
              </w:rPr>
              <w:t>(6,039)</w:t>
            </w:r>
          </w:p>
        </w:tc>
        <w:tc>
          <w:tcPr>
            <w:tcW w:w="980" w:type="dxa"/>
            <w:vAlign w:val="bottom"/>
          </w:tcPr>
          <w:p>
            <w:pPr>
              <w:jc w:val="right"/>
              <w:spacing w:after="0"/>
              <w:rPr>
                <w:sz w:val="20"/>
                <w:szCs w:val="20"/>
                <w:color w:val="auto"/>
              </w:rPr>
            </w:pPr>
            <w:r>
              <w:rPr>
                <w:rFonts w:ascii="Arial" w:cs="Arial" w:eastAsia="Arial" w:hAnsi="Arial"/>
                <w:sz w:val="13"/>
                <w:szCs w:val="13"/>
                <w:color w:val="auto"/>
              </w:rPr>
              <w:t>(5,628)</w:t>
            </w:r>
          </w:p>
        </w:tc>
        <w:tc>
          <w:tcPr>
            <w:tcW w:w="20" w:type="dxa"/>
            <w:vAlign w:val="bottom"/>
          </w:tcPr>
          <w:p>
            <w:pPr>
              <w:spacing w:after="0"/>
              <w:rPr>
                <w:sz w:val="14"/>
                <w:szCs w:val="14"/>
                <w:color w:val="auto"/>
              </w:rPr>
            </w:pPr>
          </w:p>
        </w:tc>
      </w:tr>
      <w:tr>
        <w:trPr>
          <w:trHeight w:val="170"/>
        </w:trPr>
        <w:tc>
          <w:tcPr>
            <w:tcW w:w="6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558</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r>
      <w:tr>
        <w:trPr>
          <w:trHeight w:val="182"/>
        </w:trPr>
        <w:tc>
          <w:tcPr>
            <w:tcW w:w="6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 at end of year</w:t>
            </w: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(3,846)</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(2,042)</w:t>
            </w:r>
          </w:p>
        </w:tc>
      </w:tr>
      <w:tr>
        <w:trPr>
          <w:trHeight w:val="420"/>
        </w:trPr>
        <w:tc>
          <w:tcPr>
            <w:tcW w:w="6620" w:type="dxa"/>
            <w:vAlign w:val="bottom"/>
          </w:tcPr>
          <w:p>
            <w:pPr>
              <w:spacing w:after="0"/>
              <w:rPr>
                <w:sz w:val="20"/>
                <w:szCs w:val="20"/>
                <w:color w:val="auto"/>
              </w:rPr>
            </w:pPr>
            <w:r>
              <w:rPr>
                <w:rFonts w:ascii="Arial" w:cs="Arial" w:eastAsia="Arial" w:hAnsi="Arial"/>
                <w:sz w:val="13"/>
                <w:szCs w:val="13"/>
                <w:color w:val="auto"/>
              </w:rPr>
              <w:t>Defined benefit pension expense recognised in the Consolidated Statement of Profit and Loss was as follows:</w:t>
            </w:r>
          </w:p>
        </w:tc>
        <w:tc>
          <w:tcPr>
            <w:tcW w:w="1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
        </w:trPr>
        <w:tc>
          <w:tcPr>
            <w:tcW w:w="66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180" w:type="dxa"/>
            <w:vAlign w:val="bottom"/>
            <w:gridSpan w:val="3"/>
          </w:tcPr>
          <w:p>
            <w:pPr>
              <w:spacing w:after="0"/>
              <w:rPr>
                <w:sz w:val="6"/>
                <w:szCs w:val="6"/>
                <w:color w:val="auto"/>
              </w:rPr>
            </w:pPr>
          </w:p>
        </w:tc>
      </w:tr>
      <w:tr>
        <w:trPr>
          <w:trHeight w:val="127"/>
        </w:trPr>
        <w:tc>
          <w:tcPr>
            <w:tcW w:w="66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18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2020</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2019</w:t>
            </w:r>
          </w:p>
        </w:tc>
      </w:tr>
      <w:tr>
        <w:trPr>
          <w:trHeight w:val="160"/>
        </w:trPr>
        <w:tc>
          <w:tcPr>
            <w:tcW w:w="6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8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6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83"/>
        </w:trPr>
        <w:tc>
          <w:tcPr>
            <w:tcW w:w="6620" w:type="dxa"/>
            <w:vAlign w:val="bottom"/>
          </w:tcPr>
          <w:p>
            <w:pPr>
              <w:ind w:left="20"/>
              <w:spacing w:after="0"/>
              <w:rPr>
                <w:sz w:val="20"/>
                <w:szCs w:val="20"/>
                <w:color w:val="auto"/>
              </w:rPr>
            </w:pPr>
            <w:r>
              <w:rPr>
                <w:rFonts w:ascii="Arial" w:cs="Arial" w:eastAsia="Arial" w:hAnsi="Arial"/>
                <w:sz w:val="13"/>
                <w:szCs w:val="13"/>
                <w:color w:val="auto"/>
              </w:rPr>
              <w:t>Current service cost recognised in profit or loss</w:t>
            </w:r>
          </w:p>
        </w:tc>
        <w:tc>
          <w:tcPr>
            <w:tcW w:w="1480" w:type="dxa"/>
            <w:vAlign w:val="bottom"/>
          </w:tcPr>
          <w:p>
            <w:pPr>
              <w:spacing w:after="0"/>
              <w:rPr>
                <w:sz w:val="15"/>
                <w:szCs w:val="15"/>
                <w:color w:val="auto"/>
              </w:rPr>
            </w:pPr>
          </w:p>
        </w:tc>
        <w:tc>
          <w:tcPr>
            <w:tcW w:w="2180" w:type="dxa"/>
            <w:vAlign w:val="bottom"/>
          </w:tcPr>
          <w:p>
            <w:pPr>
              <w:jc w:val="right"/>
              <w:ind w:right="476"/>
              <w:spacing w:after="0"/>
              <w:rPr>
                <w:sz w:val="20"/>
                <w:szCs w:val="20"/>
                <w:color w:val="auto"/>
              </w:rPr>
            </w:pPr>
            <w:r>
              <w:rPr>
                <w:rFonts w:ascii="Arial" w:cs="Arial" w:eastAsia="Arial" w:hAnsi="Arial"/>
                <w:sz w:val="13"/>
                <w:szCs w:val="13"/>
                <w:b w:val="1"/>
                <w:bCs w:val="1"/>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107</w:t>
            </w:r>
          </w:p>
        </w:tc>
        <w:tc>
          <w:tcPr>
            <w:tcW w:w="20" w:type="dxa"/>
            <w:vAlign w:val="bottom"/>
          </w:tcPr>
          <w:p>
            <w:pPr>
              <w:spacing w:after="0"/>
              <w:rPr>
                <w:sz w:val="15"/>
                <w:szCs w:val="15"/>
                <w:color w:val="auto"/>
              </w:rPr>
            </w:pPr>
          </w:p>
        </w:tc>
      </w:tr>
      <w:tr>
        <w:trPr>
          <w:trHeight w:val="191"/>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interest expense recognised in profit or loss</w:t>
            </w:r>
          </w:p>
        </w:tc>
        <w:tc>
          <w:tcPr>
            <w:tcW w:w="1480" w:type="dxa"/>
            <w:vAlign w:val="bottom"/>
            <w:tcBorders>
              <w:bottom w:val="single" w:sz="8" w:color="auto"/>
            </w:tcBorders>
            <w:shd w:val="clear" w:color="auto" w:fill="CCEEFF"/>
          </w:tcPr>
          <w:p>
            <w:pPr>
              <w:spacing w:after="0"/>
              <w:rPr>
                <w:sz w:val="16"/>
                <w:szCs w:val="16"/>
                <w:color w:val="auto"/>
              </w:rPr>
            </w:pPr>
          </w:p>
        </w:tc>
        <w:tc>
          <w:tcPr>
            <w:tcW w:w="21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102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20" w:type="dxa"/>
            <w:vAlign w:val="bottom"/>
            <w:tcBorders>
              <w:bottom w:val="single" w:sz="8" w:color="auto"/>
            </w:tcBorders>
            <w:shd w:val="clear" w:color="auto" w:fill="CCEEFF"/>
          </w:tcPr>
          <w:p>
            <w:pPr>
              <w:spacing w:after="0"/>
              <w:rPr>
                <w:sz w:val="16"/>
                <w:szCs w:val="16"/>
                <w:color w:val="auto"/>
              </w:rPr>
            </w:pPr>
          </w:p>
        </w:tc>
      </w:tr>
      <w:tr>
        <w:trPr>
          <w:trHeight w:val="189"/>
        </w:trPr>
        <w:tc>
          <w:tcPr>
            <w:tcW w:w="6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periodic pension cost</w:t>
            </w: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202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20" w:type="dxa"/>
            <w:vAlign w:val="bottom"/>
            <w:tcBorders>
              <w:bottom w:val="single" w:sz="8" w:color="auto"/>
            </w:tcBorders>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80"/>
          </w:cols>
          <w:pgMar w:left="300" w:top="696"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Plan Assets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plan assets at 31 December 2020 is analysed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shd w:val="clear" w:color="auto" w:fill="CCEEFF"/>
          </w:tcPr>
          <w:p>
            <w:pPr>
              <w:spacing w:after="0"/>
              <w:rPr>
                <w:sz w:val="13"/>
                <w:szCs w:val="13"/>
                <w:color w:val="auto"/>
              </w:rPr>
            </w:pPr>
          </w:p>
        </w:tc>
        <w:tc>
          <w:tcPr>
            <w:tcW w:w="53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4780" w:type="dxa"/>
            <w:vAlign w:val="bottom"/>
            <w:tcBorders>
              <w:bottom w:val="single" w:sz="8" w:color="auto"/>
            </w:tcBorders>
            <w:shd w:val="clear" w:color="auto" w:fill="CCEEFF"/>
          </w:tcPr>
          <w:p>
            <w:pPr>
              <w:spacing w:after="0"/>
              <w:rPr>
                <w:sz w:val="14"/>
                <w:szCs w:val="14"/>
                <w:color w:val="auto"/>
              </w:rPr>
            </w:pPr>
          </w:p>
        </w:tc>
        <w:tc>
          <w:tcPr>
            <w:tcW w:w="53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4780" w:type="dxa"/>
            <w:vAlign w:val="bottom"/>
          </w:tcPr>
          <w:p>
            <w:pPr>
              <w:spacing w:after="0"/>
              <w:rPr>
                <w:sz w:val="13"/>
                <w:szCs w:val="13"/>
                <w:color w:val="auto"/>
              </w:rPr>
            </w:pPr>
          </w:p>
        </w:tc>
        <w:tc>
          <w:tcPr>
            <w:tcW w:w="53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47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1"/>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Unit funds</w:t>
            </w:r>
          </w:p>
        </w:tc>
        <w:tc>
          <w:tcPr>
            <w:tcW w:w="53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34,612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32,016</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The plan’s assets do not include any of the Group’s own financial instruments, nor any property occupied by, or other assets used by the Group.</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At 31 December 2020 the long-term expected rate of return on cash is determined by reference to traditional corporate bond rates at the latest reporting date. The long-term expected returns on traditional corporate and government bonds are determined by reference to corporate bond yields and gilt yields respectively at the reporting date. The long-term expected returns on equities is based on the rate of return on government bonds with an allowance for out-performance. The long-term expected return on high yield bonds, secured loans and multi asset credit is based on the return on traditional corporate bonds with an allowance for out-performance.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underlying asset split of the funds at 31 December 2020 and 31 December 2019 was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shd w:val="clear" w:color="auto" w:fill="CCEEFF"/>
          </w:tcPr>
          <w:p>
            <w:pPr>
              <w:spacing w:after="0"/>
              <w:rPr>
                <w:sz w:val="13"/>
                <w:szCs w:val="13"/>
                <w:color w:val="auto"/>
              </w:rPr>
            </w:pPr>
          </w:p>
        </w:tc>
        <w:tc>
          <w:tcPr>
            <w:tcW w:w="42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880" w:type="dxa"/>
            <w:vAlign w:val="bottom"/>
            <w:tcBorders>
              <w:bottom w:val="single" w:sz="8" w:color="auto"/>
            </w:tcBorders>
            <w:shd w:val="clear" w:color="auto" w:fill="CCEEFF"/>
          </w:tcPr>
          <w:p>
            <w:pPr>
              <w:spacing w:after="0"/>
              <w:rPr>
                <w:sz w:val="14"/>
                <w:szCs w:val="14"/>
                <w:color w:val="auto"/>
              </w:rPr>
            </w:pPr>
          </w:p>
        </w:tc>
        <w:tc>
          <w:tcPr>
            <w:tcW w:w="42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82"/>
        </w:trPr>
        <w:tc>
          <w:tcPr>
            <w:tcW w:w="58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 (including 50% high yield bonds)</w:t>
            </w:r>
          </w:p>
        </w:tc>
        <w:tc>
          <w:tcPr>
            <w:tcW w:w="42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40.00 %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40.00 %</w:t>
            </w:r>
          </w:p>
        </w:tc>
      </w:tr>
      <w:tr>
        <w:trPr>
          <w:trHeight w:val="183"/>
        </w:trPr>
        <w:tc>
          <w:tcPr>
            <w:tcW w:w="5880" w:type="dxa"/>
            <w:vAlign w:val="bottom"/>
          </w:tcPr>
          <w:p>
            <w:pPr>
              <w:ind w:left="20"/>
              <w:spacing w:after="0"/>
              <w:rPr>
                <w:sz w:val="20"/>
                <w:szCs w:val="20"/>
                <w:color w:val="auto"/>
              </w:rPr>
            </w:pPr>
            <w:r>
              <w:rPr>
                <w:rFonts w:ascii="Arial" w:cs="Arial" w:eastAsia="Arial" w:hAnsi="Arial"/>
                <w:sz w:val="13"/>
                <w:szCs w:val="13"/>
                <w:color w:val="auto"/>
              </w:rPr>
              <w:t>Equities</w:t>
            </w:r>
          </w:p>
        </w:tc>
        <w:tc>
          <w:tcPr>
            <w:tcW w:w="4220" w:type="dxa"/>
            <w:vAlign w:val="bottom"/>
          </w:tcPr>
          <w:p>
            <w:pPr>
              <w:jc w:val="right"/>
              <w:ind w:right="356"/>
              <w:spacing w:after="0"/>
              <w:rPr>
                <w:sz w:val="20"/>
                <w:szCs w:val="20"/>
                <w:color w:val="auto"/>
              </w:rPr>
            </w:pPr>
            <w:r>
              <w:rPr>
                <w:rFonts w:ascii="Arial" w:cs="Arial" w:eastAsia="Arial" w:hAnsi="Arial"/>
                <w:sz w:val="13"/>
                <w:szCs w:val="13"/>
                <w:b w:val="1"/>
                <w:bCs w:val="1"/>
                <w:color w:val="auto"/>
              </w:rPr>
              <w:t>21.00 %</w:t>
            </w:r>
          </w:p>
        </w:tc>
        <w:tc>
          <w:tcPr>
            <w:tcW w:w="1180" w:type="dxa"/>
            <w:vAlign w:val="bottom"/>
          </w:tcPr>
          <w:p>
            <w:pPr>
              <w:jc w:val="right"/>
              <w:spacing w:after="0"/>
              <w:rPr>
                <w:sz w:val="20"/>
                <w:szCs w:val="20"/>
                <w:color w:val="auto"/>
              </w:rPr>
            </w:pPr>
            <w:r>
              <w:rPr>
                <w:rFonts w:ascii="Arial" w:cs="Arial" w:eastAsia="Arial" w:hAnsi="Arial"/>
                <w:sz w:val="13"/>
                <w:szCs w:val="13"/>
                <w:color w:val="auto"/>
              </w:rPr>
              <w:t>21.00 %</w:t>
            </w:r>
          </w:p>
        </w:tc>
      </w:tr>
      <w:tr>
        <w:trPr>
          <w:trHeight w:val="191"/>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Secured Loans and Multi Asset Credit</w:t>
            </w:r>
          </w:p>
        </w:tc>
        <w:tc>
          <w:tcPr>
            <w:tcW w:w="42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39.00 %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39.00 %</w:t>
            </w:r>
          </w:p>
        </w:tc>
      </w:tr>
    </w:tbl>
    <w:p>
      <w:pPr>
        <w:spacing w:after="0" w:line="24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assets of the scheme are held on an investment platform with Mobius Life Limited which invests in a number of investment funds with Legal &amp; General, Stone Harbor, Ninety One and Barings. The overall investment strategy is that approximately 19% of investments are in senior secured loans, 20% in corporate bonds, high yield bonds and multi-asset credit fund respectively and 21% in world equities. There is no self-investment in employer related assets.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of the defined benefit obligation to changes in the weighted principal assumptions is: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Borders>
              <w:bottom w:val="single" w:sz="8" w:color="auto"/>
            </w:tcBorders>
            <w:shd w:val="clear" w:color="auto" w:fill="CCEEFF"/>
          </w:tcPr>
          <w:p>
            <w:pPr>
              <w:spacing w:after="0"/>
              <w:rPr>
                <w:sz w:val="14"/>
                <w:szCs w:val="14"/>
                <w:color w:val="auto"/>
              </w:rPr>
            </w:pPr>
          </w:p>
        </w:tc>
        <w:tc>
          <w:tcPr>
            <w:tcW w:w="47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3"/>
                <w:szCs w:val="13"/>
                <w:b w:val="1"/>
                <w:bCs w:val="1"/>
                <w:color w:val="auto"/>
              </w:rPr>
              <w:t>Change in Assumption</w:t>
            </w:r>
          </w:p>
        </w:tc>
        <w:tc>
          <w:tcPr>
            <w:tcW w:w="392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3"/>
                <w:szCs w:val="13"/>
                <w:b w:val="1"/>
                <w:bCs w:val="1"/>
                <w:color w:val="auto"/>
                <w:w w:val="98"/>
              </w:rPr>
              <w:t>Change in Liabilities</w:t>
            </w:r>
          </w:p>
        </w:tc>
      </w:tr>
      <w:tr>
        <w:trPr>
          <w:trHeight w:val="182"/>
        </w:trPr>
        <w:tc>
          <w:tcPr>
            <w:tcW w:w="26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70"/>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7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Decrease of 0.25% p.a.</w:t>
            </w:r>
          </w:p>
        </w:tc>
        <w:tc>
          <w:tcPr>
            <w:tcW w:w="392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9"/>
              </w:rPr>
              <w:t>Increase by 6.6%</w:t>
            </w:r>
          </w:p>
        </w:tc>
      </w:tr>
      <w:tr>
        <w:trPr>
          <w:trHeight w:val="168"/>
        </w:trPr>
        <w:tc>
          <w:tcPr>
            <w:tcW w:w="2600" w:type="dxa"/>
            <w:vAlign w:val="bottom"/>
          </w:tcPr>
          <w:p>
            <w:pPr>
              <w:ind w:left="20"/>
              <w:spacing w:after="0"/>
              <w:rPr>
                <w:sz w:val="20"/>
                <w:szCs w:val="20"/>
                <w:color w:val="auto"/>
              </w:rPr>
            </w:pPr>
            <w:r>
              <w:rPr>
                <w:rFonts w:ascii="Arial" w:cs="Arial" w:eastAsia="Arial" w:hAnsi="Arial"/>
                <w:sz w:val="13"/>
                <w:szCs w:val="13"/>
                <w:color w:val="auto"/>
              </w:rPr>
              <w:t>Rate of Inflation</w:t>
            </w:r>
          </w:p>
        </w:tc>
        <w:tc>
          <w:tcPr>
            <w:tcW w:w="4740" w:type="dxa"/>
            <w:vAlign w:val="bottom"/>
          </w:tcPr>
          <w:p>
            <w:pPr>
              <w:ind w:left="1340"/>
              <w:spacing w:after="0"/>
              <w:rPr>
                <w:sz w:val="20"/>
                <w:szCs w:val="20"/>
                <w:color w:val="auto"/>
              </w:rPr>
            </w:pPr>
            <w:r>
              <w:rPr>
                <w:rFonts w:ascii="Arial" w:cs="Arial" w:eastAsia="Arial" w:hAnsi="Arial"/>
                <w:sz w:val="13"/>
                <w:szCs w:val="13"/>
                <w:color w:val="auto"/>
              </w:rPr>
              <w:t>Increase of 0.25% p.a.</w:t>
            </w:r>
          </w:p>
        </w:tc>
        <w:tc>
          <w:tcPr>
            <w:tcW w:w="3920" w:type="dxa"/>
            <w:vAlign w:val="bottom"/>
          </w:tcPr>
          <w:p>
            <w:pPr>
              <w:jc w:val="center"/>
              <w:ind w:left="16"/>
              <w:spacing w:after="0"/>
              <w:rPr>
                <w:sz w:val="20"/>
                <w:szCs w:val="20"/>
                <w:color w:val="auto"/>
              </w:rPr>
            </w:pPr>
            <w:r>
              <w:rPr>
                <w:rFonts w:ascii="Arial" w:cs="Arial" w:eastAsia="Arial" w:hAnsi="Arial"/>
                <w:sz w:val="13"/>
                <w:szCs w:val="13"/>
                <w:color w:val="auto"/>
                <w:w w:val="99"/>
              </w:rPr>
              <w:t>Increase by 1.3%</w:t>
            </w:r>
          </w:p>
        </w:tc>
      </w:tr>
      <w:tr>
        <w:trPr>
          <w:trHeight w:val="172"/>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 of Salary Growth</w:t>
            </w:r>
          </w:p>
        </w:tc>
        <w:tc>
          <w:tcPr>
            <w:tcW w:w="47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Increase of 0.25% p.a.</w:t>
            </w:r>
          </w:p>
        </w:tc>
        <w:tc>
          <w:tcPr>
            <w:tcW w:w="392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9"/>
              </w:rPr>
              <w:t>Increase by 0.1%</w:t>
            </w:r>
          </w:p>
        </w:tc>
      </w:tr>
      <w:tr>
        <w:trPr>
          <w:trHeight w:val="168"/>
        </w:trPr>
        <w:tc>
          <w:tcPr>
            <w:tcW w:w="2600" w:type="dxa"/>
            <w:vAlign w:val="bottom"/>
            <w:tcBorders>
              <w:bottom w:val="single" w:sz="8" w:color="00000A"/>
            </w:tcBorders>
          </w:tcPr>
          <w:p>
            <w:pPr>
              <w:ind w:left="20"/>
              <w:spacing w:after="0"/>
              <w:rPr>
                <w:sz w:val="20"/>
                <w:szCs w:val="20"/>
                <w:color w:val="auto"/>
              </w:rPr>
            </w:pPr>
            <w:r>
              <w:rPr>
                <w:rFonts w:ascii="Arial" w:cs="Arial" w:eastAsia="Arial" w:hAnsi="Arial"/>
                <w:sz w:val="13"/>
                <w:szCs w:val="13"/>
                <w:color w:val="auto"/>
              </w:rPr>
              <w:t>Rate of Mortality</w:t>
            </w:r>
          </w:p>
        </w:tc>
        <w:tc>
          <w:tcPr>
            <w:tcW w:w="4740" w:type="dxa"/>
            <w:vAlign w:val="bottom"/>
            <w:tcBorders>
              <w:bottom w:val="single" w:sz="8" w:color="00000A"/>
            </w:tcBorders>
          </w:tcPr>
          <w:p>
            <w:pPr>
              <w:ind w:left="1340"/>
              <w:spacing w:after="0"/>
              <w:rPr>
                <w:sz w:val="20"/>
                <w:szCs w:val="20"/>
                <w:color w:val="auto"/>
              </w:rPr>
            </w:pPr>
            <w:r>
              <w:rPr>
                <w:rFonts w:ascii="Arial" w:cs="Arial" w:eastAsia="Arial" w:hAnsi="Arial"/>
                <w:sz w:val="13"/>
                <w:szCs w:val="13"/>
                <w:color w:val="auto"/>
              </w:rPr>
              <w:t>Increase in life expectancy of 1 year</w:t>
            </w:r>
          </w:p>
        </w:tc>
        <w:tc>
          <w:tcPr>
            <w:tcW w:w="3920" w:type="dxa"/>
            <w:vAlign w:val="bottom"/>
            <w:tcBorders>
              <w:bottom w:val="single" w:sz="8" w:color="00000A"/>
            </w:tcBorders>
          </w:tcPr>
          <w:p>
            <w:pPr>
              <w:jc w:val="center"/>
              <w:ind w:left="16"/>
              <w:spacing w:after="0"/>
              <w:rPr>
                <w:sz w:val="20"/>
                <w:szCs w:val="20"/>
                <w:color w:val="auto"/>
              </w:rPr>
            </w:pPr>
            <w:r>
              <w:rPr>
                <w:rFonts w:ascii="Arial" w:cs="Arial" w:eastAsia="Arial" w:hAnsi="Arial"/>
                <w:sz w:val="13"/>
                <w:szCs w:val="13"/>
                <w:color w:val="auto"/>
                <w:w w:val="99"/>
              </w:rPr>
              <w:t>Increase by 3.9%</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sensitivities shown above are approximate. Each sensitivity considers one change in isolation. The inflation sensitivity includes the impact of changes to the assumptions for revaluation, pension increases and salary growth.</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Statement of Financial Position and may give rise to increased charges in future Statements of Profit and Loss.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80"/>
          </w:cols>
          <w:pgMar w:left="300" w:top="696"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and Maturity Profiles</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Group expects to contribute approximately $0.1 million of normal contribution to the defined benefit pension scheme for the year ended 31 December 2021. The average duration of the defined benefit obligation at the period ending 31 December 2020 is 26 years.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Aptiv Solutions Pension Scheme</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7 May 2014, the Company acquired 100% of the common stock of Aptiv Solutions (“Aptiv”). The acquisition of Aptiv was accounted for as a business combination in accordance with IFRS 3 Business Combinations.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31 December 2020 and 31 December 2019 consist of units held in independently administered funds.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Financial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in determining the fair value of the plan assets and the present value of the projected benefit obligation at 31 December 2020: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shd w:val="clear" w:color="auto" w:fill="CCEEFF"/>
          </w:tcPr>
          <w:p>
            <w:pPr>
              <w:spacing w:after="0"/>
              <w:rPr>
                <w:sz w:val="13"/>
                <w:szCs w:val="13"/>
                <w:color w:val="auto"/>
              </w:rPr>
            </w:pP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180" w:type="dxa"/>
            <w:vAlign w:val="bottom"/>
            <w:tcBorders>
              <w:bottom w:val="single" w:sz="8" w:color="auto"/>
            </w:tcBorders>
            <w:shd w:val="clear" w:color="auto" w:fill="CCEEFF"/>
          </w:tcPr>
          <w:p>
            <w:pPr>
              <w:spacing w:after="0"/>
              <w:rPr>
                <w:sz w:val="14"/>
                <w:szCs w:val="14"/>
                <w:color w:val="auto"/>
              </w:rPr>
            </w:pPr>
          </w:p>
        </w:tc>
        <w:tc>
          <w:tcPr>
            <w:tcW w:w="49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82"/>
        </w:trPr>
        <w:tc>
          <w:tcPr>
            <w:tcW w:w="51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0.15 %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0.30 %</w:t>
            </w:r>
          </w:p>
        </w:tc>
      </w:tr>
      <w:tr>
        <w:trPr>
          <w:trHeight w:val="169"/>
        </w:trPr>
        <w:tc>
          <w:tcPr>
            <w:tcW w:w="5180" w:type="dxa"/>
            <w:vAlign w:val="bottom"/>
          </w:tcPr>
          <w:p>
            <w:pPr>
              <w:ind w:left="20"/>
              <w:spacing w:after="0"/>
              <w:rPr>
                <w:sz w:val="20"/>
                <w:szCs w:val="20"/>
                <w:color w:val="auto"/>
              </w:rPr>
            </w:pPr>
            <w:r>
              <w:rPr>
                <w:rFonts w:ascii="Arial" w:cs="Arial" w:eastAsia="Arial" w:hAnsi="Arial"/>
                <w:sz w:val="13"/>
                <w:szCs w:val="13"/>
                <w:color w:val="auto"/>
              </w:rPr>
              <w:t>Inflation rate</w:t>
            </w:r>
          </w:p>
        </w:tc>
        <w:tc>
          <w:tcPr>
            <w:tcW w:w="4920" w:type="dxa"/>
            <w:vAlign w:val="bottom"/>
          </w:tcPr>
          <w:p>
            <w:pPr>
              <w:jc w:val="right"/>
              <w:ind w:right="356"/>
              <w:spacing w:after="0"/>
              <w:rPr>
                <w:sz w:val="20"/>
                <w:szCs w:val="20"/>
                <w:color w:val="auto"/>
              </w:rPr>
            </w:pPr>
            <w:r>
              <w:rPr>
                <w:rFonts w:ascii="Arial" w:cs="Arial" w:eastAsia="Arial" w:hAnsi="Arial"/>
                <w:sz w:val="13"/>
                <w:szCs w:val="13"/>
                <w:b w:val="1"/>
                <w:bCs w:val="1"/>
                <w:color w:val="auto"/>
              </w:rPr>
              <w:t>1.00 %</w:t>
            </w:r>
          </w:p>
        </w:tc>
        <w:tc>
          <w:tcPr>
            <w:tcW w:w="1180" w:type="dxa"/>
            <w:vAlign w:val="bottom"/>
          </w:tcPr>
          <w:p>
            <w:pPr>
              <w:jc w:val="right"/>
              <w:spacing w:after="0"/>
              <w:rPr>
                <w:sz w:val="20"/>
                <w:szCs w:val="20"/>
                <w:color w:val="auto"/>
              </w:rPr>
            </w:pPr>
            <w:r>
              <w:rPr>
                <w:rFonts w:ascii="Arial" w:cs="Arial" w:eastAsia="Arial" w:hAnsi="Arial"/>
                <w:sz w:val="13"/>
                <w:szCs w:val="13"/>
                <w:color w:val="auto"/>
              </w:rPr>
              <w:t>1.00 %</w:t>
            </w:r>
          </w:p>
        </w:tc>
      </w:tr>
      <w:tr>
        <w:trPr>
          <w:trHeight w:val="170"/>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Future pension increases</w:t>
            </w: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0.00 %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0.00 %</w:t>
            </w:r>
          </w:p>
        </w:tc>
      </w:tr>
      <w:tr>
        <w:trPr>
          <w:trHeight w:val="17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2.00 %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2.00 %</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The discount rate is determined by reference to Swiss corporate bond yields at the reporting date.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at the commencement of the year in determining the net periodic pension cost for the year ended 31 December 2020: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shd w:val="clear" w:color="auto" w:fill="CCEEFF"/>
          </w:tcPr>
          <w:p>
            <w:pPr>
              <w:spacing w:after="0"/>
              <w:rPr>
                <w:sz w:val="13"/>
                <w:szCs w:val="13"/>
                <w:color w:val="auto"/>
              </w:rPr>
            </w:pPr>
          </w:p>
        </w:tc>
        <w:tc>
          <w:tcPr>
            <w:tcW w:w="49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120" w:type="dxa"/>
            <w:vAlign w:val="bottom"/>
            <w:tcBorders>
              <w:bottom w:val="single" w:sz="8" w:color="auto"/>
            </w:tcBorders>
            <w:shd w:val="clear" w:color="auto" w:fill="CCEEFF"/>
          </w:tcPr>
          <w:p>
            <w:pPr>
              <w:spacing w:after="0"/>
              <w:rPr>
                <w:sz w:val="14"/>
                <w:szCs w:val="14"/>
                <w:color w:val="auto"/>
              </w:rPr>
            </w:pPr>
          </w:p>
        </w:tc>
        <w:tc>
          <w:tcPr>
            <w:tcW w:w="49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82"/>
        </w:trPr>
        <w:tc>
          <w:tcPr>
            <w:tcW w:w="51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0.30 %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0.80 %</w:t>
            </w:r>
          </w:p>
        </w:tc>
      </w:tr>
      <w:tr>
        <w:trPr>
          <w:trHeight w:val="171"/>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2.00 %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2.00 %</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Mortality assumptions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3"/>
          <w:szCs w:val="13"/>
          <w:color w:val="auto"/>
        </w:rPr>
        <w:t>Assumptions regarding mortality experience are set based on actuarial advice in accordance with published statistics and experience. The mortality assumptions adopted at 31 December 2020 are determined using the BVG 2015 generational table, where the mortality rates are projected forward for each individual based on their date of birth to reflect expected future mortality improvements. The allowance for future improvements in mortality is using the CMI projection model with a long-term trend rate of 1.25%. These tables imply the following life expectancies, for males retiring at age 65 and females retiring at age 64:</w:t>
      </w:r>
    </w:p>
    <w:tbl>
      <w:tblPr>
        <w:tblLayout w:type="fixed"/>
        <w:tblInd w:w="0" w:type="dxa"/>
        <w:tblCellMar>
          <w:top w:w="0" w:type="dxa"/>
          <w:left w:w="0" w:type="dxa"/>
          <w:bottom w:w="0" w:type="dxa"/>
          <w:right w:w="0" w:type="dxa"/>
        </w:tblCellMar>
      </w:tblPr>
      <w:tr>
        <w:trPr>
          <w:trHeight w:val="143"/>
        </w:trPr>
        <w:tc>
          <w:tcPr>
            <w:tcW w:w="5160" w:type="dxa"/>
            <w:vAlign w:val="bottom"/>
            <w:shd w:val="clear" w:color="auto" w:fill="CCEEFF"/>
          </w:tcPr>
          <w:p>
            <w:pPr>
              <w:spacing w:after="0"/>
              <w:rPr>
                <w:sz w:val="12"/>
                <w:szCs w:val="12"/>
                <w:color w:val="auto"/>
              </w:rPr>
            </w:pPr>
          </w:p>
        </w:tc>
        <w:tc>
          <w:tcPr>
            <w:tcW w:w="4980" w:type="dxa"/>
            <w:vAlign w:val="bottom"/>
            <w:shd w:val="clear" w:color="auto" w:fill="CCEEFF"/>
          </w:tcPr>
          <w:p>
            <w:pPr>
              <w:jc w:val="right"/>
              <w:ind w:right="296"/>
              <w:spacing w:after="0" w:line="143"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31 December</w:t>
            </w:r>
          </w:p>
        </w:tc>
      </w:tr>
      <w:tr>
        <w:trPr>
          <w:trHeight w:val="169"/>
        </w:trPr>
        <w:tc>
          <w:tcPr>
            <w:tcW w:w="5160" w:type="dxa"/>
            <w:vAlign w:val="bottom"/>
            <w:tcBorders>
              <w:bottom w:val="single" w:sz="8" w:color="auto"/>
            </w:tcBorders>
            <w:shd w:val="clear" w:color="auto" w:fill="CCEEFF"/>
          </w:tcPr>
          <w:p>
            <w:pPr>
              <w:spacing w:after="0"/>
              <w:rPr>
                <w:sz w:val="14"/>
                <w:szCs w:val="14"/>
                <w:color w:val="auto"/>
              </w:rPr>
            </w:pPr>
          </w:p>
        </w:tc>
        <w:tc>
          <w:tcPr>
            <w:tcW w:w="49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82"/>
        </w:trPr>
        <w:tc>
          <w:tcPr>
            <w:tcW w:w="51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2020</w:t>
            </w:r>
          </w:p>
        </w:tc>
        <w:tc>
          <w:tcPr>
            <w:tcW w:w="4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21.5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 years</w:t>
            </w:r>
          </w:p>
        </w:tc>
      </w:tr>
      <w:tr>
        <w:trPr>
          <w:trHeight w:val="169"/>
        </w:trPr>
        <w:tc>
          <w:tcPr>
            <w:tcW w:w="5160" w:type="dxa"/>
            <w:vAlign w:val="bottom"/>
          </w:tcPr>
          <w:p>
            <w:pPr>
              <w:ind w:left="20"/>
              <w:spacing w:after="0"/>
              <w:rPr>
                <w:sz w:val="20"/>
                <w:szCs w:val="20"/>
                <w:color w:val="auto"/>
              </w:rPr>
            </w:pPr>
            <w:r>
              <w:rPr>
                <w:rFonts w:ascii="Arial" w:cs="Arial" w:eastAsia="Arial" w:hAnsi="Arial"/>
                <w:sz w:val="13"/>
                <w:szCs w:val="13"/>
                <w:color w:val="auto"/>
              </w:rPr>
              <w:t>Female retiring in 2020</w:t>
            </w:r>
          </w:p>
        </w:tc>
        <w:tc>
          <w:tcPr>
            <w:tcW w:w="4980" w:type="dxa"/>
            <w:vAlign w:val="bottom"/>
          </w:tcPr>
          <w:p>
            <w:pPr>
              <w:jc w:val="right"/>
              <w:ind w:right="296"/>
              <w:spacing w:after="0"/>
              <w:rPr>
                <w:sz w:val="20"/>
                <w:szCs w:val="20"/>
                <w:color w:val="auto"/>
              </w:rPr>
            </w:pPr>
            <w:r>
              <w:rPr>
                <w:rFonts w:ascii="Arial" w:cs="Arial" w:eastAsia="Arial" w:hAnsi="Arial"/>
                <w:sz w:val="13"/>
                <w:szCs w:val="13"/>
                <w:b w:val="1"/>
                <w:bCs w:val="1"/>
                <w:color w:val="auto"/>
              </w:rPr>
              <w:t>23.7 years</w:t>
            </w:r>
          </w:p>
        </w:tc>
        <w:tc>
          <w:tcPr>
            <w:tcW w:w="1140" w:type="dxa"/>
            <w:vAlign w:val="bottom"/>
          </w:tcPr>
          <w:p>
            <w:pPr>
              <w:jc w:val="right"/>
              <w:spacing w:after="0"/>
              <w:rPr>
                <w:sz w:val="20"/>
                <w:szCs w:val="20"/>
                <w:color w:val="auto"/>
              </w:rPr>
            </w:pPr>
            <w:r>
              <w:rPr>
                <w:rFonts w:ascii="Arial" w:cs="Arial" w:eastAsia="Arial" w:hAnsi="Arial"/>
                <w:sz w:val="13"/>
                <w:szCs w:val="13"/>
                <w:color w:val="auto"/>
              </w:rPr>
              <w:t>23.7 years</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2040</w:t>
            </w:r>
          </w:p>
        </w:tc>
        <w:tc>
          <w:tcPr>
            <w:tcW w:w="4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22.8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 years</w:t>
            </w:r>
          </w:p>
        </w:tc>
      </w:tr>
      <w:tr>
        <w:trPr>
          <w:trHeight w:val="171"/>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Female retiring in 2040</w:t>
            </w:r>
          </w:p>
        </w:tc>
        <w:tc>
          <w:tcPr>
            <w:tcW w:w="49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25.3 years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 years</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696"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status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20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69"/>
        </w:trPr>
        <w:tc>
          <w:tcPr>
            <w:tcW w:w="60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60"/>
        </w:trPr>
        <w:tc>
          <w:tcPr>
            <w:tcW w:w="6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2040" w:type="dxa"/>
            <w:vAlign w:val="bottom"/>
            <w:shd w:val="clear" w:color="auto" w:fill="CCEEFF"/>
          </w:tcPr>
          <w:p>
            <w:pPr>
              <w:spacing w:after="0"/>
              <w:rPr>
                <w:sz w:val="14"/>
                <w:szCs w:val="14"/>
                <w:color w:val="auto"/>
              </w:rPr>
            </w:pPr>
          </w:p>
        </w:tc>
        <w:tc>
          <w:tcPr>
            <w:tcW w:w="2040" w:type="dxa"/>
            <w:vAlign w:val="bottom"/>
            <w:shd w:val="clear" w:color="auto" w:fill="CCEEFF"/>
          </w:tcPr>
          <w:p>
            <w:pPr>
              <w:jc w:val="center"/>
              <w:ind w:left="816"/>
              <w:spacing w:after="0"/>
              <w:rPr>
                <w:sz w:val="20"/>
                <w:szCs w:val="20"/>
                <w:color w:val="auto"/>
              </w:rPr>
            </w:pPr>
            <w:r>
              <w:rPr>
                <w:rFonts w:ascii="Arial" w:cs="Arial" w:eastAsia="Arial" w:hAnsi="Arial"/>
                <w:sz w:val="13"/>
                <w:szCs w:val="13"/>
                <w:b w:val="1"/>
                <w:bCs w:val="1"/>
                <w:color w:val="auto"/>
                <w:w w:val="97"/>
              </w:rPr>
              <w:t>(8,620)</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20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center"/>
              <w:ind w:left="856"/>
              <w:spacing w:after="0"/>
              <w:rPr>
                <w:sz w:val="20"/>
                <w:szCs w:val="20"/>
                <w:color w:val="auto"/>
              </w:rPr>
            </w:pPr>
            <w:r>
              <w:rPr>
                <w:rFonts w:ascii="Arial" w:cs="Arial" w:eastAsia="Arial" w:hAnsi="Arial"/>
                <w:sz w:val="13"/>
                <w:szCs w:val="13"/>
                <w:b w:val="1"/>
                <w:bCs w:val="1"/>
                <w:color w:val="auto"/>
                <w:w w:val="98"/>
              </w:rPr>
              <w:t>7,601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Retirement benefit plan net obligation (note 20)</w:t>
            </w:r>
          </w:p>
        </w:tc>
        <w:tc>
          <w:tcPr>
            <w:tcW w:w="204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jc w:val="center"/>
              <w:ind w:left="816"/>
              <w:spacing w:after="0"/>
              <w:rPr>
                <w:sz w:val="20"/>
                <w:szCs w:val="20"/>
                <w:color w:val="auto"/>
              </w:rPr>
            </w:pPr>
            <w:r>
              <w:rPr>
                <w:rFonts w:ascii="Arial" w:cs="Arial" w:eastAsia="Arial" w:hAnsi="Arial"/>
                <w:sz w:val="13"/>
                <w:szCs w:val="13"/>
                <w:b w:val="1"/>
                <w:bCs w:val="1"/>
                <w:color w:val="auto"/>
                <w:w w:val="97"/>
              </w:rPr>
              <w:t>(1,019)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(1,033)</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060" w:type="dxa"/>
            <w:vAlign w:val="bottom"/>
          </w:tcPr>
          <w:p>
            <w:pPr>
              <w:spacing w:after="0"/>
              <w:rPr>
                <w:sz w:val="20"/>
                <w:szCs w:val="20"/>
                <w:color w:val="auto"/>
              </w:rPr>
            </w:pPr>
            <w:r>
              <w:rPr>
                <w:rFonts w:ascii="Arial" w:cs="Arial" w:eastAsia="Arial" w:hAnsi="Arial"/>
                <w:sz w:val="13"/>
                <w:szCs w:val="13"/>
                <w:color w:val="auto"/>
              </w:rPr>
              <w:t>Movement in the net benefit obligation recognised in non-current other liabilities was as follows:</w:t>
            </w: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60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060" w:type="dxa"/>
            <w:vAlign w:val="bottom"/>
            <w:shd w:val="clear" w:color="auto" w:fill="CCEEFF"/>
          </w:tcPr>
          <w:p>
            <w:pPr>
              <w:spacing w:after="0"/>
              <w:rPr>
                <w:sz w:val="11"/>
                <w:szCs w:val="11"/>
                <w:color w:val="auto"/>
              </w:rPr>
            </w:pPr>
          </w:p>
        </w:tc>
        <w:tc>
          <w:tcPr>
            <w:tcW w:w="204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Present Value of</w:t>
            </w:r>
          </w:p>
        </w:tc>
        <w:tc>
          <w:tcPr>
            <w:tcW w:w="2040" w:type="dxa"/>
            <w:vAlign w:val="bottom"/>
            <w:shd w:val="clear" w:color="auto" w:fill="CCEEFF"/>
          </w:tcPr>
          <w:p>
            <w:pPr>
              <w:jc w:val="right"/>
              <w:ind w:right="416"/>
              <w:spacing w:after="0" w:line="128" w:lineRule="exact"/>
              <w:rPr>
                <w:sz w:val="20"/>
                <w:szCs w:val="20"/>
                <w:color w:val="auto"/>
              </w:rPr>
            </w:pPr>
            <w:r>
              <w:rPr>
                <w:rFonts w:ascii="Arial" w:cs="Arial" w:eastAsia="Arial" w:hAnsi="Arial"/>
                <w:sz w:val="13"/>
                <w:szCs w:val="13"/>
                <w:b w:val="1"/>
                <w:bCs w:val="1"/>
                <w:color w:val="auto"/>
                <w:w w:val="99"/>
              </w:rPr>
              <w:t>Fair Value of Plan Assets</w:t>
            </w:r>
          </w:p>
        </w:tc>
        <w:tc>
          <w:tcPr>
            <w:tcW w:w="112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0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Obligations</w:t>
            </w:r>
          </w:p>
        </w:tc>
        <w:tc>
          <w:tcPr>
            <w:tcW w:w="20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6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2040" w:type="dxa"/>
            <w:vAlign w:val="bottom"/>
          </w:tcPr>
          <w:p>
            <w:pPr>
              <w:jc w:val="right"/>
              <w:ind w:right="36"/>
              <w:spacing w:after="0"/>
              <w:rPr>
                <w:sz w:val="20"/>
                <w:szCs w:val="20"/>
                <w:color w:val="auto"/>
              </w:rPr>
            </w:pPr>
            <w:r>
              <w:rPr>
                <w:rFonts w:ascii="Arial" w:cs="Arial" w:eastAsia="Arial" w:hAnsi="Arial"/>
                <w:sz w:val="13"/>
                <w:szCs w:val="13"/>
                <w:color w:val="auto"/>
              </w:rPr>
              <w:t>(7,047)</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6,014</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(1,033)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service costs</w:t>
            </w:r>
          </w:p>
        </w:tc>
        <w:tc>
          <w:tcPr>
            <w:tcW w:w="2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(139)</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
              <w:spacing w:after="0"/>
              <w:rPr>
                <w:sz w:val="20"/>
                <w:szCs w:val="20"/>
                <w:color w:val="auto"/>
              </w:rPr>
            </w:pPr>
            <w:r>
              <w:rPr>
                <w:rFonts w:ascii="Arial" w:cs="Arial" w:eastAsia="Arial" w:hAnsi="Arial"/>
                <w:sz w:val="13"/>
                <w:szCs w:val="13"/>
                <w:color w:val="auto"/>
              </w:rPr>
              <w:t>Interest expense/(income)</w:t>
            </w:r>
          </w:p>
        </w:tc>
        <w:tc>
          <w:tcPr>
            <w:tcW w:w="2040" w:type="dxa"/>
            <w:vAlign w:val="bottom"/>
          </w:tcPr>
          <w:p>
            <w:pPr>
              <w:jc w:val="right"/>
              <w:ind w:right="36"/>
              <w:spacing w:after="0"/>
              <w:rPr>
                <w:sz w:val="20"/>
                <w:szCs w:val="20"/>
                <w:color w:val="auto"/>
              </w:rPr>
            </w:pPr>
            <w:r>
              <w:rPr>
                <w:rFonts w:ascii="Arial" w:cs="Arial" w:eastAsia="Arial" w:hAnsi="Arial"/>
                <w:sz w:val="13"/>
                <w:szCs w:val="13"/>
                <w:color w:val="auto"/>
              </w:rPr>
              <w:t>(21)</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18</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Past service cost</w:t>
            </w:r>
          </w:p>
        </w:tc>
        <w:tc>
          <w:tcPr>
            <w:tcW w:w="2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(7,184)</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6,032</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(1,152)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
              <w:spacing w:after="0"/>
              <w:rPr>
                <w:sz w:val="20"/>
                <w:szCs w:val="20"/>
                <w:color w:val="auto"/>
              </w:rPr>
            </w:pPr>
            <w:r>
              <w:rPr>
                <w:rFonts w:ascii="Arial" w:cs="Arial" w:eastAsia="Arial" w:hAnsi="Arial"/>
                <w:sz w:val="13"/>
                <w:szCs w:val="13"/>
                <w:color w:val="auto"/>
              </w:rPr>
              <w:t>Re-measurements</w:t>
            </w:r>
          </w:p>
        </w:tc>
        <w:tc>
          <w:tcPr>
            <w:tcW w:w="2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Experience adjustment</w:t>
            </w:r>
          </w:p>
        </w:tc>
        <w:tc>
          <w:tcPr>
            <w:tcW w:w="2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522</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
              <w:spacing w:after="0"/>
              <w:rPr>
                <w:sz w:val="20"/>
                <w:szCs w:val="20"/>
                <w:color w:val="auto"/>
              </w:rPr>
            </w:pPr>
            <w:r>
              <w:rPr>
                <w:rFonts w:ascii="Arial" w:cs="Arial" w:eastAsia="Arial" w:hAnsi="Arial"/>
                <w:sz w:val="13"/>
                <w:szCs w:val="13"/>
                <w:color w:val="auto"/>
              </w:rPr>
              <w:t>Gain or loss from change in financial assumptions</w:t>
            </w:r>
          </w:p>
        </w:tc>
        <w:tc>
          <w:tcPr>
            <w:tcW w:w="2040" w:type="dxa"/>
            <w:vAlign w:val="bottom"/>
          </w:tcPr>
          <w:p>
            <w:pPr>
              <w:jc w:val="right"/>
              <w:ind w:right="36"/>
              <w:spacing w:after="0"/>
              <w:rPr>
                <w:sz w:val="20"/>
                <w:szCs w:val="20"/>
                <w:color w:val="auto"/>
              </w:rPr>
            </w:pPr>
            <w:r>
              <w:rPr>
                <w:rFonts w:ascii="Arial" w:cs="Arial" w:eastAsia="Arial" w:hAnsi="Arial"/>
                <w:sz w:val="13"/>
                <w:szCs w:val="13"/>
                <w:color w:val="auto"/>
              </w:rPr>
              <w:t>(177)</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Experience gain or loss</w:t>
            </w:r>
          </w:p>
        </w:tc>
        <w:tc>
          <w:tcPr>
            <w:tcW w:w="2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(229)</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0</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(406)</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522</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Exchange differences</w:t>
            </w:r>
          </w:p>
        </w:tc>
        <w:tc>
          <w:tcPr>
            <w:tcW w:w="2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(704)</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616</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w:t>
            </w:r>
          </w:p>
        </w:tc>
        <w:tc>
          <w:tcPr>
            <w:tcW w:w="20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
              <w:spacing w:after="0"/>
              <w:rPr>
                <w:sz w:val="20"/>
                <w:szCs w:val="20"/>
                <w:color w:val="auto"/>
              </w:rPr>
            </w:pPr>
            <w:r>
              <w:rPr>
                <w:rFonts w:ascii="Arial" w:cs="Arial" w:eastAsia="Arial" w:hAnsi="Arial"/>
                <w:sz w:val="13"/>
                <w:szCs w:val="13"/>
                <w:color w:val="auto"/>
              </w:rPr>
              <w:t>- Employers</w:t>
            </w:r>
          </w:p>
        </w:tc>
        <w:tc>
          <w:tcPr>
            <w:tcW w:w="20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105</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Plan participants</w:t>
            </w:r>
          </w:p>
        </w:tc>
        <w:tc>
          <w:tcPr>
            <w:tcW w:w="2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(81)</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81</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Benefit payments</w:t>
            </w:r>
          </w:p>
        </w:tc>
        <w:tc>
          <w:tcPr>
            <w:tcW w:w="2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(245)</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245</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(326)</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431</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2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(8,620)</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7,601</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696" w:right="3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18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w w:val="99"/>
              </w:rPr>
              <w:t>Fair Value of Plan Assets</w:t>
            </w: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26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spacing w:after="0"/>
              <w:rPr>
                <w:sz w:val="16"/>
                <w:szCs w:val="16"/>
                <w:color w:val="auto"/>
              </w:rPr>
            </w:pPr>
          </w:p>
        </w:tc>
        <w:tc>
          <w:tcPr>
            <w:tcW w:w="2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6"/>
                <w:szCs w:val="16"/>
                <w:color w:val="auto"/>
              </w:rPr>
            </w:pPr>
          </w:p>
        </w:tc>
      </w:tr>
      <w:tr>
        <w:trPr>
          <w:trHeight w:val="182"/>
        </w:trPr>
        <w:tc>
          <w:tcPr>
            <w:tcW w:w="6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209"/>
        </w:trPr>
        <w:tc>
          <w:tcPr>
            <w:tcW w:w="6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68"/>
        </w:trPr>
        <w:tc>
          <w:tcPr>
            <w:tcW w:w="6260" w:type="dxa"/>
            <w:vAlign w:val="bottom"/>
          </w:tcPr>
          <w:p>
            <w:pPr>
              <w:ind w:left="20"/>
              <w:spacing w:after="0"/>
              <w:rPr>
                <w:sz w:val="20"/>
                <w:szCs w:val="20"/>
                <w:color w:val="auto"/>
              </w:rPr>
            </w:pPr>
            <w:r>
              <w:rPr>
                <w:rFonts w:ascii="Arial" w:cs="Arial" w:eastAsia="Arial" w:hAnsi="Arial"/>
                <w:sz w:val="13"/>
                <w:szCs w:val="13"/>
                <w:color w:val="auto"/>
              </w:rPr>
              <w:t>At 1 January 2019</w:t>
            </w:r>
          </w:p>
        </w:tc>
        <w:tc>
          <w:tcPr>
            <w:tcW w:w="1840" w:type="dxa"/>
            <w:vAlign w:val="bottom"/>
          </w:tcPr>
          <w:p>
            <w:pPr>
              <w:jc w:val="right"/>
              <w:ind w:right="36"/>
              <w:spacing w:after="0"/>
              <w:rPr>
                <w:sz w:val="20"/>
                <w:szCs w:val="20"/>
                <w:color w:val="auto"/>
              </w:rPr>
            </w:pPr>
            <w:r>
              <w:rPr>
                <w:rFonts w:ascii="Arial" w:cs="Arial" w:eastAsia="Arial" w:hAnsi="Arial"/>
                <w:sz w:val="13"/>
                <w:szCs w:val="13"/>
                <w:color w:val="auto"/>
              </w:rPr>
              <w:t>(5,279)</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4,707</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(572)</w:t>
            </w:r>
          </w:p>
        </w:tc>
        <w:tc>
          <w:tcPr>
            <w:tcW w:w="20" w:type="dxa"/>
            <w:vAlign w:val="bottom"/>
          </w:tcPr>
          <w:p>
            <w:pPr>
              <w:spacing w:after="0"/>
              <w:rPr>
                <w:sz w:val="14"/>
                <w:szCs w:val="14"/>
                <w:color w:val="auto"/>
              </w:rPr>
            </w:pPr>
          </w:p>
        </w:tc>
      </w:tr>
      <w:tr>
        <w:trPr>
          <w:trHeight w:val="172"/>
        </w:trPr>
        <w:tc>
          <w:tcPr>
            <w:tcW w:w="6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(115)</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(115)</w:t>
            </w:r>
          </w:p>
        </w:tc>
        <w:tc>
          <w:tcPr>
            <w:tcW w:w="20" w:type="dxa"/>
            <w:vAlign w:val="bottom"/>
          </w:tcPr>
          <w:p>
            <w:pPr>
              <w:spacing w:after="0"/>
              <w:rPr>
                <w:sz w:val="14"/>
                <w:szCs w:val="14"/>
                <w:color w:val="auto"/>
              </w:rPr>
            </w:pPr>
          </w:p>
        </w:tc>
      </w:tr>
      <w:tr>
        <w:trPr>
          <w:trHeight w:val="168"/>
        </w:trPr>
        <w:tc>
          <w:tcPr>
            <w:tcW w:w="6260" w:type="dxa"/>
            <w:vAlign w:val="bottom"/>
          </w:tcPr>
          <w:p>
            <w:pPr>
              <w:ind w:left="60"/>
              <w:spacing w:after="0"/>
              <w:rPr>
                <w:sz w:val="20"/>
                <w:szCs w:val="20"/>
                <w:color w:val="auto"/>
              </w:rPr>
            </w:pPr>
            <w:r>
              <w:rPr>
                <w:rFonts w:ascii="Arial" w:cs="Arial" w:eastAsia="Arial" w:hAnsi="Arial"/>
                <w:sz w:val="13"/>
                <w:szCs w:val="13"/>
                <w:color w:val="auto"/>
              </w:rPr>
              <w:t>Interest expense/(income)</w:t>
            </w:r>
          </w:p>
        </w:tc>
        <w:tc>
          <w:tcPr>
            <w:tcW w:w="1840" w:type="dxa"/>
            <w:vAlign w:val="bottom"/>
          </w:tcPr>
          <w:p>
            <w:pPr>
              <w:jc w:val="right"/>
              <w:ind w:right="36"/>
              <w:spacing w:after="0"/>
              <w:rPr>
                <w:sz w:val="20"/>
                <w:szCs w:val="20"/>
                <w:color w:val="auto"/>
              </w:rPr>
            </w:pPr>
            <w:r>
              <w:rPr>
                <w:rFonts w:ascii="Arial" w:cs="Arial" w:eastAsia="Arial" w:hAnsi="Arial"/>
                <w:sz w:val="13"/>
                <w:szCs w:val="13"/>
                <w:color w:val="auto"/>
              </w:rPr>
              <w:t>(40)</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35</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r>
      <w:tr>
        <w:trPr>
          <w:trHeight w:val="170"/>
        </w:trPr>
        <w:tc>
          <w:tcPr>
            <w:tcW w:w="6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Past service cost</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2"/>
        </w:trPr>
        <w:tc>
          <w:tcPr>
            <w:tcW w:w="6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(5,434)</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4,742</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(692)</w:t>
            </w:r>
          </w:p>
        </w:tc>
        <w:tc>
          <w:tcPr>
            <w:tcW w:w="20" w:type="dxa"/>
            <w:vAlign w:val="bottom"/>
          </w:tcPr>
          <w:p>
            <w:pPr>
              <w:spacing w:after="0"/>
              <w:rPr>
                <w:sz w:val="14"/>
                <w:szCs w:val="14"/>
                <w:color w:val="auto"/>
              </w:rPr>
            </w:pPr>
          </w:p>
        </w:tc>
      </w:tr>
      <w:tr>
        <w:trPr>
          <w:trHeight w:val="182"/>
        </w:trPr>
        <w:tc>
          <w:tcPr>
            <w:tcW w:w="6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626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6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1,114</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1,114</w:t>
            </w:r>
          </w:p>
        </w:tc>
        <w:tc>
          <w:tcPr>
            <w:tcW w:w="20" w:type="dxa"/>
            <w:vAlign w:val="bottom"/>
          </w:tcPr>
          <w:p>
            <w:pPr>
              <w:spacing w:after="0"/>
              <w:rPr>
                <w:sz w:val="14"/>
                <w:szCs w:val="14"/>
                <w:color w:val="auto"/>
              </w:rPr>
            </w:pPr>
          </w:p>
        </w:tc>
      </w:tr>
      <w:tr>
        <w:trPr>
          <w:trHeight w:val="168"/>
        </w:trPr>
        <w:tc>
          <w:tcPr>
            <w:tcW w:w="626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840" w:type="dxa"/>
            <w:vAlign w:val="bottom"/>
          </w:tcPr>
          <w:p>
            <w:pPr>
              <w:jc w:val="right"/>
              <w:ind w:right="36"/>
              <w:spacing w:after="0"/>
              <w:rPr>
                <w:sz w:val="20"/>
                <w:szCs w:val="20"/>
                <w:color w:val="auto"/>
              </w:rPr>
            </w:pPr>
            <w:r>
              <w:rPr>
                <w:rFonts w:ascii="Arial" w:cs="Arial" w:eastAsia="Arial" w:hAnsi="Arial"/>
                <w:sz w:val="13"/>
                <w:szCs w:val="13"/>
                <w:color w:val="auto"/>
              </w:rPr>
              <w:t>(519)</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(519)</w:t>
            </w:r>
          </w:p>
        </w:tc>
        <w:tc>
          <w:tcPr>
            <w:tcW w:w="20" w:type="dxa"/>
            <w:vAlign w:val="bottom"/>
          </w:tcPr>
          <w:p>
            <w:pPr>
              <w:spacing w:after="0"/>
              <w:rPr>
                <w:sz w:val="14"/>
                <w:szCs w:val="14"/>
                <w:color w:val="auto"/>
              </w:rPr>
            </w:pPr>
          </w:p>
        </w:tc>
      </w:tr>
      <w:tr>
        <w:trPr>
          <w:trHeight w:val="170"/>
        </w:trPr>
        <w:tc>
          <w:tcPr>
            <w:tcW w:w="6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(960)</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(960)</w:t>
            </w:r>
          </w:p>
        </w:tc>
        <w:tc>
          <w:tcPr>
            <w:tcW w:w="20" w:type="dxa"/>
            <w:vAlign w:val="bottom"/>
          </w:tcPr>
          <w:p>
            <w:pPr>
              <w:spacing w:after="0"/>
              <w:rPr>
                <w:sz w:val="14"/>
                <w:szCs w:val="14"/>
                <w:color w:val="auto"/>
              </w:rPr>
            </w:pPr>
          </w:p>
        </w:tc>
      </w:tr>
      <w:tr>
        <w:trPr>
          <w:trHeight w:val="162"/>
        </w:trPr>
        <w:tc>
          <w:tcPr>
            <w:tcW w:w="6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(1,479)</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1,114</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(365)</w:t>
            </w:r>
          </w:p>
        </w:tc>
        <w:tc>
          <w:tcPr>
            <w:tcW w:w="20" w:type="dxa"/>
            <w:vAlign w:val="bottom"/>
          </w:tcPr>
          <w:p>
            <w:pPr>
              <w:spacing w:after="0"/>
              <w:rPr>
                <w:sz w:val="14"/>
                <w:szCs w:val="14"/>
                <w:color w:val="auto"/>
              </w:rPr>
            </w:pPr>
          </w:p>
        </w:tc>
      </w:tr>
      <w:tr>
        <w:trPr>
          <w:trHeight w:val="161"/>
        </w:trPr>
        <w:tc>
          <w:tcPr>
            <w:tcW w:w="6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Exchange differences</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(139)</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74</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(65)</w:t>
            </w:r>
          </w:p>
        </w:tc>
        <w:tc>
          <w:tcPr>
            <w:tcW w:w="20" w:type="dxa"/>
            <w:vAlign w:val="bottom"/>
          </w:tcPr>
          <w:p>
            <w:pPr>
              <w:spacing w:after="0"/>
              <w:rPr>
                <w:sz w:val="13"/>
                <w:szCs w:val="13"/>
                <w:color w:val="auto"/>
              </w:rPr>
            </w:pPr>
          </w:p>
        </w:tc>
      </w:tr>
      <w:tr>
        <w:trPr>
          <w:trHeight w:val="169"/>
        </w:trPr>
        <w:tc>
          <w:tcPr>
            <w:tcW w:w="6260" w:type="dxa"/>
            <w:vAlign w:val="bottom"/>
          </w:tcPr>
          <w:p>
            <w:pPr>
              <w:ind w:left="60"/>
              <w:spacing w:after="0"/>
              <w:rPr>
                <w:sz w:val="20"/>
                <w:szCs w:val="20"/>
                <w:color w:val="auto"/>
              </w:rPr>
            </w:pPr>
            <w:r>
              <w:rPr>
                <w:rFonts w:ascii="Arial" w:cs="Arial" w:eastAsia="Arial" w:hAnsi="Arial"/>
                <w:sz w:val="13"/>
                <w:szCs w:val="13"/>
                <w:b w:val="1"/>
                <w:bCs w:val="1"/>
                <w:color w:val="auto"/>
              </w:rPr>
              <w:t>Contributions:</w:t>
            </w: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6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 Employers</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89</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89</w:t>
            </w:r>
          </w:p>
        </w:tc>
        <w:tc>
          <w:tcPr>
            <w:tcW w:w="20" w:type="dxa"/>
            <w:vAlign w:val="bottom"/>
          </w:tcPr>
          <w:p>
            <w:pPr>
              <w:spacing w:after="0"/>
              <w:rPr>
                <w:sz w:val="14"/>
                <w:szCs w:val="14"/>
                <w:color w:val="auto"/>
              </w:rPr>
            </w:pPr>
          </w:p>
        </w:tc>
      </w:tr>
      <w:tr>
        <w:trPr>
          <w:trHeight w:val="168"/>
        </w:trPr>
        <w:tc>
          <w:tcPr>
            <w:tcW w:w="6260" w:type="dxa"/>
            <w:vAlign w:val="bottom"/>
          </w:tcPr>
          <w:p>
            <w:pPr>
              <w:ind w:left="60"/>
              <w:spacing w:after="0"/>
              <w:rPr>
                <w:sz w:val="20"/>
                <w:szCs w:val="20"/>
                <w:color w:val="auto"/>
              </w:rPr>
            </w:pPr>
            <w:r>
              <w:rPr>
                <w:rFonts w:ascii="Arial" w:cs="Arial" w:eastAsia="Arial" w:hAnsi="Arial"/>
                <w:sz w:val="13"/>
                <w:szCs w:val="13"/>
                <w:color w:val="auto"/>
              </w:rPr>
              <w:t>- Plan participants</w:t>
            </w:r>
          </w:p>
        </w:tc>
        <w:tc>
          <w:tcPr>
            <w:tcW w:w="1840" w:type="dxa"/>
            <w:vAlign w:val="bottom"/>
          </w:tcPr>
          <w:p>
            <w:pPr>
              <w:jc w:val="right"/>
              <w:ind w:right="36"/>
              <w:spacing w:after="0"/>
              <w:rPr>
                <w:sz w:val="20"/>
                <w:szCs w:val="20"/>
                <w:color w:val="auto"/>
              </w:rPr>
            </w:pPr>
            <w:r>
              <w:rPr>
                <w:rFonts w:ascii="Arial" w:cs="Arial" w:eastAsia="Arial" w:hAnsi="Arial"/>
                <w:sz w:val="13"/>
                <w:szCs w:val="13"/>
                <w:color w:val="auto"/>
              </w:rPr>
              <w:t>(67)</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67</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70"/>
        </w:trPr>
        <w:tc>
          <w:tcPr>
            <w:tcW w:w="6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Benefit payments</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72</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(72)</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2"/>
        </w:trPr>
        <w:tc>
          <w:tcPr>
            <w:tcW w:w="6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5</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84</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89</w:t>
            </w:r>
          </w:p>
        </w:tc>
        <w:tc>
          <w:tcPr>
            <w:tcW w:w="20" w:type="dxa"/>
            <w:vAlign w:val="bottom"/>
          </w:tcPr>
          <w:p>
            <w:pPr>
              <w:spacing w:after="0"/>
              <w:rPr>
                <w:sz w:val="14"/>
                <w:szCs w:val="14"/>
                <w:color w:val="auto"/>
              </w:rPr>
            </w:pPr>
          </w:p>
        </w:tc>
      </w:tr>
      <w:tr>
        <w:trPr>
          <w:trHeight w:val="162"/>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(7,047)</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6,014</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(1,033)</w:t>
            </w:r>
          </w:p>
        </w:tc>
        <w:tc>
          <w:tcPr>
            <w:tcW w:w="20" w:type="dxa"/>
            <w:vAlign w:val="bottom"/>
          </w:tcPr>
          <w:p>
            <w:pPr>
              <w:spacing w:after="0"/>
              <w:rPr>
                <w:sz w:val="14"/>
                <w:szCs w:val="14"/>
                <w:color w:val="auto"/>
              </w:rPr>
            </w:pPr>
          </w:p>
        </w:tc>
      </w:tr>
      <w:tr>
        <w:trPr>
          <w:trHeight w:val="409"/>
        </w:trPr>
        <w:tc>
          <w:tcPr>
            <w:tcW w:w="6260" w:type="dxa"/>
            <w:vAlign w:val="bottom"/>
          </w:tcPr>
          <w:p>
            <w:pPr>
              <w:spacing w:after="0"/>
              <w:rPr>
                <w:sz w:val="20"/>
                <w:szCs w:val="20"/>
                <w:color w:val="auto"/>
              </w:rPr>
            </w:pPr>
            <w:r>
              <w:rPr>
                <w:rFonts w:ascii="Arial" w:cs="Arial" w:eastAsia="Arial" w:hAnsi="Arial"/>
                <w:sz w:val="13"/>
                <w:szCs w:val="13"/>
                <w:color w:val="auto"/>
              </w:rPr>
              <w:t>Re-measurements are recognised in the Consolidated Statement of Comprehensive Income as follows:</w:t>
            </w:r>
          </w:p>
        </w:tc>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6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180" w:type="dxa"/>
            <w:vAlign w:val="bottom"/>
            <w:gridSpan w:val="3"/>
          </w:tcPr>
          <w:p>
            <w:pPr>
              <w:spacing w:after="0"/>
              <w:rPr>
                <w:sz w:val="7"/>
                <w:szCs w:val="7"/>
                <w:color w:val="auto"/>
              </w:rPr>
            </w:pPr>
          </w:p>
        </w:tc>
      </w:tr>
      <w:tr>
        <w:trPr>
          <w:trHeight w:val="127"/>
        </w:trPr>
        <w:tc>
          <w:tcPr>
            <w:tcW w:w="62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318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626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2020</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2019</w:t>
            </w:r>
          </w:p>
        </w:tc>
      </w:tr>
      <w:tr>
        <w:trPr>
          <w:trHeight w:val="160"/>
        </w:trPr>
        <w:tc>
          <w:tcPr>
            <w:tcW w:w="6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18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6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69"/>
        </w:trPr>
        <w:tc>
          <w:tcPr>
            <w:tcW w:w="6260" w:type="dxa"/>
            <w:vAlign w:val="bottom"/>
          </w:tcPr>
          <w:p>
            <w:pPr>
              <w:ind w:left="20"/>
              <w:spacing w:after="0"/>
              <w:rPr>
                <w:sz w:val="20"/>
                <w:szCs w:val="20"/>
                <w:color w:val="auto"/>
              </w:rPr>
            </w:pPr>
            <w:r>
              <w:rPr>
                <w:rFonts w:ascii="Arial" w:cs="Arial" w:eastAsia="Arial" w:hAnsi="Arial"/>
                <w:sz w:val="13"/>
                <w:szCs w:val="13"/>
                <w:color w:val="auto"/>
              </w:rPr>
              <w:t>Return on Plan Assets (excl. amounts included in interest income/expense)</w:t>
            </w:r>
          </w:p>
        </w:tc>
        <w:tc>
          <w:tcPr>
            <w:tcW w:w="1840" w:type="dxa"/>
            <w:vAlign w:val="bottom"/>
          </w:tcPr>
          <w:p>
            <w:pPr>
              <w:spacing w:after="0"/>
              <w:rPr>
                <w:sz w:val="14"/>
                <w:szCs w:val="14"/>
                <w:color w:val="auto"/>
              </w:rPr>
            </w:pPr>
          </w:p>
        </w:tc>
        <w:tc>
          <w:tcPr>
            <w:tcW w:w="2180" w:type="dxa"/>
            <w:vAlign w:val="bottom"/>
          </w:tcPr>
          <w:p>
            <w:pPr>
              <w:jc w:val="right"/>
              <w:ind w:right="476"/>
              <w:spacing w:after="0"/>
              <w:rPr>
                <w:sz w:val="20"/>
                <w:szCs w:val="20"/>
                <w:color w:val="auto"/>
              </w:rPr>
            </w:pPr>
            <w:r>
              <w:rPr>
                <w:rFonts w:ascii="Arial" w:cs="Arial" w:eastAsia="Arial" w:hAnsi="Arial"/>
                <w:sz w:val="13"/>
                <w:szCs w:val="13"/>
                <w:b w:val="1"/>
                <w:bCs w:val="1"/>
                <w:color w:val="auto"/>
              </w:rPr>
              <w:t>522</w:t>
            </w:r>
          </w:p>
        </w:tc>
        <w:tc>
          <w:tcPr>
            <w:tcW w:w="980" w:type="dxa"/>
            <w:vAlign w:val="bottom"/>
          </w:tcPr>
          <w:p>
            <w:pPr>
              <w:jc w:val="right"/>
              <w:spacing w:after="0"/>
              <w:rPr>
                <w:sz w:val="20"/>
                <w:szCs w:val="20"/>
                <w:color w:val="auto"/>
              </w:rPr>
            </w:pPr>
            <w:r>
              <w:rPr>
                <w:rFonts w:ascii="Arial" w:cs="Arial" w:eastAsia="Arial" w:hAnsi="Arial"/>
                <w:sz w:val="13"/>
                <w:szCs w:val="13"/>
                <w:color w:val="auto"/>
              </w:rPr>
              <w:t>1,114</w:t>
            </w:r>
          </w:p>
        </w:tc>
        <w:tc>
          <w:tcPr>
            <w:tcW w:w="20" w:type="dxa"/>
            <w:vAlign w:val="bottom"/>
          </w:tcPr>
          <w:p>
            <w:pPr>
              <w:spacing w:after="0"/>
              <w:rPr>
                <w:sz w:val="14"/>
                <w:szCs w:val="14"/>
                <w:color w:val="auto"/>
              </w:rPr>
            </w:pPr>
          </w:p>
        </w:tc>
      </w:tr>
      <w:tr>
        <w:trPr>
          <w:trHeight w:val="170"/>
        </w:trPr>
        <w:tc>
          <w:tcPr>
            <w:tcW w:w="6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84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9"/>
        </w:trPr>
        <w:tc>
          <w:tcPr>
            <w:tcW w:w="626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840" w:type="dxa"/>
            <w:vAlign w:val="bottom"/>
          </w:tcPr>
          <w:p>
            <w:pPr>
              <w:spacing w:after="0"/>
              <w:rPr>
                <w:sz w:val="14"/>
                <w:szCs w:val="14"/>
                <w:color w:val="auto"/>
              </w:rPr>
            </w:pPr>
          </w:p>
        </w:tc>
        <w:tc>
          <w:tcPr>
            <w:tcW w:w="2180" w:type="dxa"/>
            <w:vAlign w:val="bottom"/>
          </w:tcPr>
          <w:p>
            <w:pPr>
              <w:jc w:val="right"/>
              <w:ind w:right="516"/>
              <w:spacing w:after="0"/>
              <w:rPr>
                <w:sz w:val="20"/>
                <w:szCs w:val="20"/>
                <w:color w:val="auto"/>
              </w:rPr>
            </w:pPr>
            <w:r>
              <w:rPr>
                <w:rFonts w:ascii="Arial" w:cs="Arial" w:eastAsia="Arial" w:hAnsi="Arial"/>
                <w:sz w:val="13"/>
                <w:szCs w:val="13"/>
                <w:b w:val="1"/>
                <w:bCs w:val="1"/>
                <w:color w:val="auto"/>
              </w:rPr>
              <w:t>(177)</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(519)</w:t>
            </w:r>
          </w:p>
        </w:tc>
        <w:tc>
          <w:tcPr>
            <w:tcW w:w="20" w:type="dxa"/>
            <w:vAlign w:val="bottom"/>
          </w:tcPr>
          <w:p>
            <w:pPr>
              <w:spacing w:after="0"/>
              <w:rPr>
                <w:sz w:val="14"/>
                <w:szCs w:val="14"/>
                <w:color w:val="auto"/>
              </w:rPr>
            </w:pPr>
          </w:p>
        </w:tc>
      </w:tr>
      <w:tr>
        <w:trPr>
          <w:trHeight w:val="170"/>
        </w:trPr>
        <w:tc>
          <w:tcPr>
            <w:tcW w:w="6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184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(229)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20" w:type="dxa"/>
            <w:vAlign w:val="bottom"/>
            <w:tcBorders>
              <w:bottom w:val="single" w:sz="8" w:color="auto"/>
            </w:tcBorders>
            <w:shd w:val="clear" w:color="auto" w:fill="CCEEFF"/>
          </w:tcPr>
          <w:p>
            <w:pPr>
              <w:spacing w:after="0"/>
              <w:rPr>
                <w:sz w:val="14"/>
                <w:szCs w:val="14"/>
                <w:color w:val="auto"/>
              </w:rPr>
            </w:pPr>
          </w:p>
        </w:tc>
      </w:tr>
      <w:tr>
        <w:trPr>
          <w:trHeight w:val="182"/>
        </w:trPr>
        <w:tc>
          <w:tcPr>
            <w:tcW w:w="6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 at end of year</w:t>
            </w:r>
          </w:p>
        </w:tc>
        <w:tc>
          <w:tcPr>
            <w:tcW w:w="184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116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20" w:type="dxa"/>
            <w:vAlign w:val="bottom"/>
            <w:tcBorders>
              <w:bottom w:val="single" w:sz="8" w:color="auto"/>
            </w:tcBorders>
            <w:shd w:val="clear" w:color="auto" w:fill="CCEEFF"/>
          </w:tcPr>
          <w:p>
            <w:pPr>
              <w:spacing w:after="0"/>
              <w:rPr>
                <w:sz w:val="14"/>
                <w:szCs w:val="14"/>
                <w:color w:val="auto"/>
              </w:rPr>
            </w:pPr>
          </w:p>
        </w:tc>
      </w:tr>
      <w:tr>
        <w:trPr>
          <w:trHeight w:val="420"/>
        </w:trPr>
        <w:tc>
          <w:tcPr>
            <w:tcW w:w="6260" w:type="dxa"/>
            <w:vAlign w:val="bottom"/>
          </w:tcPr>
          <w:p>
            <w:pPr>
              <w:spacing w:after="0"/>
              <w:rPr>
                <w:sz w:val="20"/>
                <w:szCs w:val="20"/>
                <w:color w:val="auto"/>
              </w:rPr>
            </w:pPr>
            <w:r>
              <w:rPr>
                <w:rFonts w:ascii="Arial" w:cs="Arial" w:eastAsia="Arial" w:hAnsi="Arial"/>
                <w:sz w:val="13"/>
                <w:szCs w:val="13"/>
                <w:color w:val="auto"/>
                <w:w w:val="99"/>
              </w:rPr>
              <w:t>Defined benefit pension expense recognised in the Consolidated Statement of Profit and Loss was as follows:</w:t>
            </w:r>
          </w:p>
        </w:tc>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
        </w:trPr>
        <w:tc>
          <w:tcPr>
            <w:tcW w:w="62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180" w:type="dxa"/>
            <w:vAlign w:val="bottom"/>
            <w:gridSpan w:val="3"/>
          </w:tcPr>
          <w:p>
            <w:pPr>
              <w:spacing w:after="0"/>
              <w:rPr>
                <w:sz w:val="6"/>
                <w:szCs w:val="6"/>
                <w:color w:val="auto"/>
              </w:rPr>
            </w:pPr>
          </w:p>
        </w:tc>
      </w:tr>
      <w:tr>
        <w:trPr>
          <w:trHeight w:val="127"/>
        </w:trPr>
        <w:tc>
          <w:tcPr>
            <w:tcW w:w="62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318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626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2020</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2019</w:t>
            </w:r>
          </w:p>
        </w:tc>
      </w:tr>
      <w:tr>
        <w:trPr>
          <w:trHeight w:val="160"/>
        </w:trPr>
        <w:tc>
          <w:tcPr>
            <w:tcW w:w="6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18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6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83"/>
        </w:trPr>
        <w:tc>
          <w:tcPr>
            <w:tcW w:w="6260" w:type="dxa"/>
            <w:vAlign w:val="bottom"/>
          </w:tcPr>
          <w:p>
            <w:pPr>
              <w:ind w:left="20"/>
              <w:spacing w:after="0"/>
              <w:rPr>
                <w:sz w:val="20"/>
                <w:szCs w:val="20"/>
                <w:color w:val="auto"/>
              </w:rPr>
            </w:pPr>
            <w:r>
              <w:rPr>
                <w:rFonts w:ascii="Arial" w:cs="Arial" w:eastAsia="Arial" w:hAnsi="Arial"/>
                <w:sz w:val="13"/>
                <w:szCs w:val="13"/>
                <w:color w:val="auto"/>
              </w:rPr>
              <w:t>Current service cost recognised in profit or loss</w:t>
            </w:r>
          </w:p>
        </w:tc>
        <w:tc>
          <w:tcPr>
            <w:tcW w:w="1840" w:type="dxa"/>
            <w:vAlign w:val="bottom"/>
          </w:tcPr>
          <w:p>
            <w:pPr>
              <w:spacing w:after="0"/>
              <w:rPr>
                <w:sz w:val="15"/>
                <w:szCs w:val="15"/>
                <w:color w:val="auto"/>
              </w:rPr>
            </w:pPr>
          </w:p>
        </w:tc>
        <w:tc>
          <w:tcPr>
            <w:tcW w:w="2180" w:type="dxa"/>
            <w:vAlign w:val="bottom"/>
          </w:tcPr>
          <w:p>
            <w:pPr>
              <w:jc w:val="right"/>
              <w:ind w:right="476"/>
              <w:spacing w:after="0"/>
              <w:rPr>
                <w:sz w:val="20"/>
                <w:szCs w:val="20"/>
                <w:color w:val="auto"/>
              </w:rPr>
            </w:pPr>
            <w:r>
              <w:rPr>
                <w:rFonts w:ascii="Arial" w:cs="Arial" w:eastAsia="Arial" w:hAnsi="Arial"/>
                <w:sz w:val="13"/>
                <w:szCs w:val="13"/>
                <w:b w:val="1"/>
                <w:bCs w:val="1"/>
                <w:color w:val="auto"/>
              </w:rPr>
              <w:t>139</w:t>
            </w:r>
          </w:p>
        </w:tc>
        <w:tc>
          <w:tcPr>
            <w:tcW w:w="980" w:type="dxa"/>
            <w:vAlign w:val="bottom"/>
          </w:tcPr>
          <w:p>
            <w:pPr>
              <w:jc w:val="right"/>
              <w:spacing w:after="0"/>
              <w:rPr>
                <w:sz w:val="20"/>
                <w:szCs w:val="20"/>
                <w:color w:val="auto"/>
              </w:rPr>
            </w:pPr>
            <w:r>
              <w:rPr>
                <w:rFonts w:ascii="Arial" w:cs="Arial" w:eastAsia="Arial" w:hAnsi="Arial"/>
                <w:sz w:val="13"/>
                <w:szCs w:val="13"/>
                <w:color w:val="auto"/>
              </w:rPr>
              <w:t>115</w:t>
            </w:r>
          </w:p>
        </w:tc>
        <w:tc>
          <w:tcPr>
            <w:tcW w:w="20" w:type="dxa"/>
            <w:vAlign w:val="bottom"/>
          </w:tcPr>
          <w:p>
            <w:pPr>
              <w:spacing w:after="0"/>
              <w:rPr>
                <w:sz w:val="15"/>
                <w:szCs w:val="15"/>
                <w:color w:val="auto"/>
              </w:rPr>
            </w:pPr>
          </w:p>
        </w:tc>
      </w:tr>
      <w:tr>
        <w:trPr>
          <w:trHeight w:val="177"/>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interest expense recognised in profit or loss</w:t>
            </w:r>
          </w:p>
        </w:tc>
        <w:tc>
          <w:tcPr>
            <w:tcW w:w="1840" w:type="dxa"/>
            <w:vAlign w:val="bottom"/>
            <w:shd w:val="clear" w:color="auto" w:fill="CCEEFF"/>
          </w:tcPr>
          <w:p>
            <w:pPr>
              <w:spacing w:after="0"/>
              <w:rPr>
                <w:sz w:val="15"/>
                <w:szCs w:val="15"/>
                <w:color w:val="auto"/>
              </w:rPr>
            </w:pPr>
          </w:p>
        </w:tc>
        <w:tc>
          <w:tcPr>
            <w:tcW w:w="218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5"/>
                <w:szCs w:val="15"/>
                <w:color w:val="auto"/>
              </w:rPr>
            </w:pPr>
          </w:p>
        </w:tc>
      </w:tr>
      <w:tr>
        <w:trPr>
          <w:trHeight w:val="169"/>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Past service cost</w:t>
            </w:r>
          </w:p>
        </w:tc>
        <w:tc>
          <w:tcPr>
            <w:tcW w:w="18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(23)</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82"/>
        </w:trPr>
        <w:tc>
          <w:tcPr>
            <w:tcW w:w="6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1"/>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periodic pension cost</w:t>
            </w:r>
          </w:p>
        </w:tc>
        <w:tc>
          <w:tcPr>
            <w:tcW w:w="18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119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696" w:right="31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Plan Assets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plan assets at 31 December 2020 is analysed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shd w:val="clear" w:color="auto" w:fill="CCEEFF"/>
          </w:tcPr>
          <w:p>
            <w:pPr>
              <w:spacing w:after="0"/>
              <w:rPr>
                <w:sz w:val="13"/>
                <w:szCs w:val="13"/>
                <w:color w:val="auto"/>
              </w:rPr>
            </w:pPr>
          </w:p>
        </w:tc>
        <w:tc>
          <w:tcPr>
            <w:tcW w:w="53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4780" w:type="dxa"/>
            <w:vAlign w:val="bottom"/>
            <w:tcBorders>
              <w:bottom w:val="single" w:sz="8" w:color="auto"/>
            </w:tcBorders>
            <w:shd w:val="clear" w:color="auto" w:fill="CCEEFF"/>
          </w:tcPr>
          <w:p>
            <w:pPr>
              <w:spacing w:after="0"/>
              <w:rPr>
                <w:sz w:val="14"/>
                <w:szCs w:val="14"/>
                <w:color w:val="auto"/>
              </w:rPr>
            </w:pPr>
          </w:p>
        </w:tc>
        <w:tc>
          <w:tcPr>
            <w:tcW w:w="53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4780" w:type="dxa"/>
            <w:vAlign w:val="bottom"/>
          </w:tcPr>
          <w:p>
            <w:pPr>
              <w:spacing w:after="0"/>
              <w:rPr>
                <w:sz w:val="13"/>
                <w:szCs w:val="13"/>
                <w:color w:val="auto"/>
              </w:rPr>
            </w:pPr>
          </w:p>
        </w:tc>
        <w:tc>
          <w:tcPr>
            <w:tcW w:w="53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780" w:type="dxa"/>
            <w:vAlign w:val="bottom"/>
            <w:shd w:val="clear" w:color="auto" w:fill="CCEEFF"/>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1"/>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Unit funds</w:t>
            </w:r>
          </w:p>
        </w:tc>
        <w:tc>
          <w:tcPr>
            <w:tcW w:w="53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7,601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6,014</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assets of the scheme are invested in an insured plan with Swiss Life and held in a combination of debt securities, equity securities and in real estate. There is no self-investment in employer related assets.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of the defined benefit obligation to changes in the weighted principal assumptions is: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Borders>
              <w:bottom w:val="single" w:sz="8" w:color="auto"/>
            </w:tcBorders>
            <w:shd w:val="clear" w:color="auto" w:fill="CCEEFF"/>
          </w:tcPr>
          <w:p>
            <w:pPr>
              <w:spacing w:after="0"/>
              <w:rPr>
                <w:sz w:val="14"/>
                <w:szCs w:val="14"/>
                <w:color w:val="auto"/>
              </w:rPr>
            </w:pPr>
          </w:p>
        </w:tc>
        <w:tc>
          <w:tcPr>
            <w:tcW w:w="49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3"/>
                <w:szCs w:val="13"/>
                <w:b w:val="1"/>
                <w:bCs w:val="1"/>
                <w:color w:val="auto"/>
              </w:rPr>
              <w:t>Change in Assumption</w:t>
            </w:r>
          </w:p>
        </w:tc>
        <w:tc>
          <w:tcPr>
            <w:tcW w:w="372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3"/>
                <w:szCs w:val="13"/>
                <w:b w:val="1"/>
                <w:bCs w:val="1"/>
                <w:color w:val="auto"/>
                <w:w w:val="98"/>
              </w:rPr>
              <w:t>Change in Liabilities</w:t>
            </w:r>
          </w:p>
        </w:tc>
      </w:tr>
      <w:tr>
        <w:trPr>
          <w:trHeight w:val="150"/>
        </w:trPr>
        <w:tc>
          <w:tcPr>
            <w:tcW w:w="26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70"/>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Decrease of 0.25% p.a.</w:t>
            </w:r>
          </w:p>
        </w:tc>
        <w:tc>
          <w:tcPr>
            <w:tcW w:w="3720" w:type="dxa"/>
            <w:vAlign w:val="bottom"/>
            <w:shd w:val="clear" w:color="auto" w:fill="CCEEFF"/>
          </w:tcPr>
          <w:p>
            <w:pPr>
              <w:jc w:val="center"/>
              <w:ind w:left="156"/>
              <w:spacing w:after="0"/>
              <w:rPr>
                <w:sz w:val="20"/>
                <w:szCs w:val="20"/>
                <w:color w:val="auto"/>
              </w:rPr>
            </w:pPr>
            <w:r>
              <w:rPr>
                <w:rFonts w:ascii="Arial" w:cs="Arial" w:eastAsia="Arial" w:hAnsi="Arial"/>
                <w:sz w:val="13"/>
                <w:szCs w:val="13"/>
                <w:color w:val="auto"/>
                <w:w w:val="97"/>
              </w:rPr>
              <w:t>Increase by 4.3%</w:t>
            </w:r>
          </w:p>
        </w:tc>
      </w:tr>
      <w:tr>
        <w:trPr>
          <w:trHeight w:val="168"/>
        </w:trPr>
        <w:tc>
          <w:tcPr>
            <w:tcW w:w="2600" w:type="dxa"/>
            <w:vAlign w:val="bottom"/>
          </w:tcPr>
          <w:p>
            <w:pPr>
              <w:ind w:left="20"/>
              <w:spacing w:after="0"/>
              <w:rPr>
                <w:sz w:val="20"/>
                <w:szCs w:val="20"/>
                <w:color w:val="auto"/>
              </w:rPr>
            </w:pPr>
            <w:r>
              <w:rPr>
                <w:rFonts w:ascii="Arial" w:cs="Arial" w:eastAsia="Arial" w:hAnsi="Arial"/>
                <w:sz w:val="13"/>
                <w:szCs w:val="13"/>
                <w:color w:val="auto"/>
              </w:rPr>
              <w:t>Rate of Salary Growth</w:t>
            </w:r>
          </w:p>
        </w:tc>
        <w:tc>
          <w:tcPr>
            <w:tcW w:w="4940" w:type="dxa"/>
            <w:vAlign w:val="bottom"/>
          </w:tcPr>
          <w:p>
            <w:pPr>
              <w:ind w:left="1340"/>
              <w:spacing w:after="0"/>
              <w:rPr>
                <w:sz w:val="20"/>
                <w:szCs w:val="20"/>
                <w:color w:val="auto"/>
              </w:rPr>
            </w:pPr>
            <w:r>
              <w:rPr>
                <w:rFonts w:ascii="Arial" w:cs="Arial" w:eastAsia="Arial" w:hAnsi="Arial"/>
                <w:sz w:val="13"/>
                <w:szCs w:val="13"/>
                <w:color w:val="auto"/>
              </w:rPr>
              <w:t>Increase of 0.25% p.a.</w:t>
            </w:r>
          </w:p>
        </w:tc>
        <w:tc>
          <w:tcPr>
            <w:tcW w:w="3720" w:type="dxa"/>
            <w:vAlign w:val="bottom"/>
          </w:tcPr>
          <w:p>
            <w:pPr>
              <w:jc w:val="center"/>
              <w:ind w:left="156"/>
              <w:spacing w:after="0"/>
              <w:rPr>
                <w:sz w:val="20"/>
                <w:szCs w:val="20"/>
                <w:color w:val="auto"/>
              </w:rPr>
            </w:pPr>
            <w:r>
              <w:rPr>
                <w:rFonts w:ascii="Arial" w:cs="Arial" w:eastAsia="Arial" w:hAnsi="Arial"/>
                <w:sz w:val="13"/>
                <w:szCs w:val="13"/>
                <w:color w:val="auto"/>
                <w:w w:val="97"/>
              </w:rPr>
              <w:t>Increase by 0.3%</w:t>
            </w:r>
          </w:p>
        </w:tc>
      </w:tr>
      <w:tr>
        <w:trPr>
          <w:trHeight w:val="170"/>
        </w:trPr>
        <w:tc>
          <w:tcPr>
            <w:tcW w:w="260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3"/>
                <w:szCs w:val="13"/>
                <w:color w:val="auto"/>
              </w:rPr>
              <w:t>Rate of Mortality</w:t>
            </w:r>
          </w:p>
        </w:tc>
        <w:tc>
          <w:tcPr>
            <w:tcW w:w="4940" w:type="dxa"/>
            <w:vAlign w:val="bottom"/>
            <w:tcBorders>
              <w:bottom w:val="single" w:sz="8" w:color="00000A"/>
            </w:tcBorders>
            <w:shd w:val="clear" w:color="auto" w:fill="CCEEFF"/>
          </w:tcPr>
          <w:p>
            <w:pPr>
              <w:ind w:left="1340"/>
              <w:spacing w:after="0"/>
              <w:rPr>
                <w:sz w:val="20"/>
                <w:szCs w:val="20"/>
                <w:color w:val="auto"/>
              </w:rPr>
            </w:pPr>
            <w:r>
              <w:rPr>
                <w:rFonts w:ascii="Arial" w:cs="Arial" w:eastAsia="Arial" w:hAnsi="Arial"/>
                <w:sz w:val="13"/>
                <w:szCs w:val="13"/>
                <w:color w:val="auto"/>
              </w:rPr>
              <w:t>Decrease in mortality rate of 1.00% p.a.</w:t>
            </w:r>
          </w:p>
        </w:tc>
        <w:tc>
          <w:tcPr>
            <w:tcW w:w="3720" w:type="dxa"/>
            <w:vAlign w:val="bottom"/>
            <w:tcBorders>
              <w:bottom w:val="single" w:sz="8" w:color="00000A"/>
            </w:tcBorders>
            <w:shd w:val="clear" w:color="auto" w:fill="CCEEFF"/>
          </w:tcPr>
          <w:p>
            <w:pPr>
              <w:jc w:val="center"/>
              <w:ind w:left="156"/>
              <w:spacing w:after="0"/>
              <w:rPr>
                <w:sz w:val="20"/>
                <w:szCs w:val="20"/>
                <w:color w:val="auto"/>
              </w:rPr>
            </w:pPr>
            <w:r>
              <w:rPr>
                <w:rFonts w:ascii="Arial" w:cs="Arial" w:eastAsia="Arial" w:hAnsi="Arial"/>
                <w:sz w:val="13"/>
                <w:szCs w:val="13"/>
                <w:color w:val="auto"/>
                <w:w w:val="97"/>
              </w:rPr>
              <w:t>Increase by 0.2%</w:t>
            </w:r>
          </w:p>
        </w:tc>
      </w:tr>
    </w:tbl>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2020 is 17 years.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Statements of Profit and Loss.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171" w:lineRule="exact"/>
        <w:rPr>
          <w:sz w:val="20"/>
          <w:szCs w:val="20"/>
          <w:color w:val="auto"/>
        </w:rPr>
      </w:pPr>
    </w:p>
    <w:p>
      <w:pPr>
        <w:ind w:left="320" w:hanging="315"/>
        <w:spacing w:after="0"/>
        <w:tabs>
          <w:tab w:leader="none" w:pos="32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Share Options</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14 February 2017 both the 2008 Employee Plan and the 2008 Consultants Plan (together the “2008 Option Plans”) were amended and restated in order to increase the number of options that can be issued under the 2008 Consultants Plan from 0.4 million to 1 million and to extend the date for options to be granted under the 2008 Option Plans.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3"/>
          <w:szCs w:val="13"/>
          <w:color w:val="auto"/>
        </w:rPr>
        <w:t>An aggregate of 6.0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14 February 2027.</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696"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17 January 2003 the Company adopted the Share Option Plan 2003 (“the 2003 Plan”), pursuant to which the Compensation and Organisation Committee of the Company’s Board of Directors could grant options to employees of the Company or its subsidiaries for the purchase of ordinary shares. Each grant of an option under the 2003 Plan was to be evidenced by a Stock Option Agreement between the individual and the Company. The exercise price was to be specified in each Stock Option Agreement; however, option prices could not be less than 100% of the fair market value of an ordinary share on the date the option was granted.</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An aggregate of 6.0 million ordinary shares were reserved under the 2003 Plan; and, in no event could the number of ordinary shares that may be issued pursuant to options awarded under the 2003 Plan exceed 10% of the outstanding shares, as defined in the 2003 Plan, at the time of the grant. Further, the maximum number of ordinary shares with respect to which options could be granted under the 2003 Plan during any calendar year to any employee was 0.4 million ordinary shares. The 2003 Share Option Plan expired on 17 January 2013. No new options may be granted under this plan.</w:t>
      </w:r>
    </w:p>
    <w:p>
      <w:pPr>
        <w:spacing w:after="0" w:line="16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Share option awards are granted with an exercise price equal to the market price of the Company’s ordinary shares at date of grant.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31 December 2020 is eight years.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Set out below is a summary of the total number of options outstanding and number of options available to grant under each plan as at 31 December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Borders>
              <w:bottom w:val="single" w:sz="8" w:color="auto"/>
            </w:tcBorders>
            <w:shd w:val="clear" w:color="auto" w:fill="CCEEFF"/>
          </w:tcPr>
          <w:p>
            <w:pPr>
              <w:spacing w:after="0"/>
              <w:rPr>
                <w:sz w:val="14"/>
                <w:szCs w:val="14"/>
                <w:color w:val="auto"/>
              </w:rPr>
            </w:pPr>
          </w:p>
        </w:tc>
        <w:tc>
          <w:tcPr>
            <w:tcW w:w="3400" w:type="dxa"/>
            <w:vAlign w:val="bottom"/>
            <w:tcBorders>
              <w:bottom w:val="single" w:sz="8" w:color="auto"/>
            </w:tcBorders>
            <w:shd w:val="clear" w:color="auto" w:fill="CCEEFF"/>
          </w:tcPr>
          <w:p>
            <w:pPr>
              <w:spacing w:after="0"/>
              <w:rPr>
                <w:sz w:val="14"/>
                <w:szCs w:val="14"/>
                <w:color w:val="auto"/>
              </w:rPr>
            </w:pPr>
          </w:p>
        </w:tc>
        <w:tc>
          <w:tcPr>
            <w:tcW w:w="3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Outstanding</w:t>
            </w:r>
          </w:p>
        </w:tc>
        <w:tc>
          <w:tcPr>
            <w:tcW w:w="12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Available to Grant</w:t>
            </w:r>
          </w:p>
        </w:tc>
        <w:tc>
          <w:tcPr>
            <w:tcW w:w="860" w:type="dxa"/>
            <w:vAlign w:val="bottom"/>
            <w:tcBorders>
              <w:bottom w:val="single" w:sz="8" w:color="auto"/>
            </w:tcBorders>
            <w:shd w:val="clear" w:color="auto" w:fill="CCEEFF"/>
          </w:tcPr>
          <w:p>
            <w:pPr>
              <w:spacing w:after="0"/>
              <w:rPr>
                <w:sz w:val="14"/>
                <w:szCs w:val="14"/>
                <w:color w:val="auto"/>
              </w:rPr>
            </w:pPr>
          </w:p>
        </w:tc>
      </w:tr>
      <w:tr>
        <w:trPr>
          <w:trHeight w:val="118"/>
        </w:trPr>
        <w:tc>
          <w:tcPr>
            <w:tcW w:w="3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64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31 December</w:t>
            </w:r>
          </w:p>
        </w:tc>
        <w:tc>
          <w:tcPr>
            <w:tcW w:w="1280" w:type="dxa"/>
            <w:vAlign w:val="bottom"/>
          </w:tcPr>
          <w:p>
            <w:pPr>
              <w:jc w:val="right"/>
              <w:ind w:right="296"/>
              <w:spacing w:after="0" w:line="118" w:lineRule="exact"/>
              <w:rPr>
                <w:sz w:val="20"/>
                <w:szCs w:val="20"/>
                <w:color w:val="auto"/>
              </w:rPr>
            </w:pPr>
            <w:r>
              <w:rPr>
                <w:rFonts w:ascii="Arial" w:cs="Arial" w:eastAsia="Arial" w:hAnsi="Arial"/>
                <w:sz w:val="13"/>
                <w:szCs w:val="13"/>
                <w:color w:val="auto"/>
              </w:rPr>
              <w:t>31 December</w:t>
            </w:r>
          </w:p>
        </w:tc>
        <w:tc>
          <w:tcPr>
            <w:tcW w:w="17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69"/>
        </w:trPr>
        <w:tc>
          <w:tcPr>
            <w:tcW w:w="3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12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2019</w:t>
            </w:r>
          </w:p>
        </w:tc>
        <w:tc>
          <w:tcPr>
            <w:tcW w:w="17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r>
      <w:tr>
        <w:trPr>
          <w:trHeight w:val="182"/>
        </w:trPr>
        <w:tc>
          <w:tcPr>
            <w:tcW w:w="32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9"/>
        </w:trPr>
        <w:tc>
          <w:tcPr>
            <w:tcW w:w="320" w:type="dxa"/>
            <w:vAlign w:val="bottom"/>
          </w:tcPr>
          <w:p>
            <w:pPr>
              <w:ind w:left="20"/>
              <w:spacing w:after="0"/>
              <w:rPr>
                <w:sz w:val="20"/>
                <w:szCs w:val="20"/>
                <w:color w:val="auto"/>
              </w:rPr>
            </w:pPr>
            <w:r>
              <w:rPr>
                <w:rFonts w:ascii="Arial" w:cs="Arial" w:eastAsia="Arial" w:hAnsi="Arial"/>
                <w:sz w:val="13"/>
                <w:szCs w:val="13"/>
                <w:color w:val="auto"/>
                <w:w w:val="96"/>
              </w:rPr>
              <w:t>2003</w:t>
            </w:r>
          </w:p>
        </w:tc>
        <w:tc>
          <w:tcPr>
            <w:tcW w:w="3400" w:type="dxa"/>
            <w:vAlign w:val="bottom"/>
          </w:tcPr>
          <w:p>
            <w:pPr>
              <w:ind w:left="20"/>
              <w:spacing w:after="0"/>
              <w:rPr>
                <w:sz w:val="20"/>
                <w:szCs w:val="20"/>
                <w:color w:val="auto"/>
              </w:rPr>
            </w:pPr>
            <w:r>
              <w:rPr>
                <w:rFonts w:ascii="Arial" w:cs="Arial" w:eastAsia="Arial" w:hAnsi="Arial"/>
                <w:sz w:val="13"/>
                <w:szCs w:val="13"/>
                <w:color w:val="auto"/>
              </w:rPr>
              <w:t>Stock Option Plan</w:t>
            </w:r>
          </w:p>
        </w:tc>
        <w:tc>
          <w:tcPr>
            <w:tcW w:w="3640" w:type="dxa"/>
            <w:vAlign w:val="bottom"/>
          </w:tcPr>
          <w:p>
            <w:pPr>
              <w:jc w:val="right"/>
              <w:ind w:right="536"/>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ind w:right="336"/>
              <w:spacing w:after="0"/>
              <w:rPr>
                <w:sz w:val="20"/>
                <w:szCs w:val="20"/>
                <w:color w:val="auto"/>
              </w:rPr>
            </w:pPr>
            <w:r>
              <w:rPr>
                <w:rFonts w:ascii="Arial" w:cs="Arial" w:eastAsia="Arial" w:hAnsi="Arial"/>
                <w:sz w:val="13"/>
                <w:szCs w:val="13"/>
                <w:color w:val="auto"/>
              </w:rPr>
              <w:t>14,818</w:t>
            </w:r>
          </w:p>
        </w:tc>
        <w:tc>
          <w:tcPr>
            <w:tcW w:w="1780" w:type="dxa"/>
            <w:vAlign w:val="bottom"/>
          </w:tcPr>
          <w:p>
            <w:pPr>
              <w:jc w:val="right"/>
              <w:ind w:right="616"/>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6"/>
              </w:rPr>
              <w:t>2008</w:t>
            </w:r>
          </w:p>
        </w:tc>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Stock Option Plans</w:t>
            </w:r>
          </w:p>
        </w:tc>
        <w:tc>
          <w:tcPr>
            <w:tcW w:w="36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553,746</w:t>
            </w:r>
          </w:p>
        </w:tc>
        <w:tc>
          <w:tcPr>
            <w:tcW w:w="12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641,289</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3,029,580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3,121,866</w:t>
            </w:r>
          </w:p>
        </w:tc>
      </w:tr>
      <w:tr>
        <w:trPr>
          <w:trHeight w:val="182"/>
        </w:trPr>
        <w:tc>
          <w:tcPr>
            <w:tcW w:w="3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1"/>
        </w:trPr>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9"/>
              </w:rPr>
              <w:t>Total</w:t>
            </w:r>
          </w:p>
        </w:tc>
        <w:tc>
          <w:tcPr>
            <w:tcW w:w="3400" w:type="dxa"/>
            <w:vAlign w:val="bottom"/>
            <w:tcBorders>
              <w:bottom w:val="single" w:sz="8" w:color="auto"/>
            </w:tcBorders>
            <w:shd w:val="clear" w:color="auto" w:fill="CCEEFF"/>
          </w:tcPr>
          <w:p>
            <w:pPr>
              <w:spacing w:after="0"/>
              <w:rPr>
                <w:sz w:val="14"/>
                <w:szCs w:val="14"/>
                <w:color w:val="auto"/>
              </w:rPr>
            </w:pPr>
          </w:p>
        </w:tc>
        <w:tc>
          <w:tcPr>
            <w:tcW w:w="36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553,746</w:t>
            </w:r>
          </w:p>
        </w:tc>
        <w:tc>
          <w:tcPr>
            <w:tcW w:w="12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656,107</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3,029,580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3,121,866</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The 2003 Share Option Plan expired on 17 January 2013 and no further options may be granted under this plan.</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The total number of share options outstanding and exercisable at 31 December 2020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shd w:val="clear" w:color="auto" w:fill="CCEEFF"/>
          </w:tcPr>
          <w:p>
            <w:pPr>
              <w:spacing w:after="0"/>
              <w:rPr>
                <w:sz w:val="13"/>
                <w:szCs w:val="13"/>
                <w:color w:val="auto"/>
              </w:rPr>
            </w:pPr>
          </w:p>
        </w:tc>
        <w:tc>
          <w:tcPr>
            <w:tcW w:w="43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Number of</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69"/>
        </w:trPr>
        <w:tc>
          <w:tcPr>
            <w:tcW w:w="5380" w:type="dxa"/>
            <w:vAlign w:val="bottom"/>
            <w:tcBorders>
              <w:bottom w:val="single" w:sz="8" w:color="auto"/>
            </w:tcBorders>
            <w:shd w:val="clear" w:color="auto" w:fill="CCEEFF"/>
          </w:tcPr>
          <w:p>
            <w:pPr>
              <w:spacing w:after="0"/>
              <w:rPr>
                <w:sz w:val="14"/>
                <w:szCs w:val="14"/>
                <w:color w:val="auto"/>
              </w:rPr>
            </w:pPr>
          </w:p>
        </w:tc>
        <w:tc>
          <w:tcPr>
            <w:tcW w:w="43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Options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Exercise Price</w:t>
            </w:r>
          </w:p>
        </w:tc>
      </w:tr>
      <w:tr>
        <w:trPr>
          <w:trHeight w:val="182"/>
        </w:trPr>
        <w:tc>
          <w:tcPr>
            <w:tcW w:w="53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2"/>
        </w:trPr>
        <w:tc>
          <w:tcPr>
            <w:tcW w:w="53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68"/>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2018</w:t>
            </w:r>
          </w:p>
        </w:tc>
        <w:tc>
          <w:tcPr>
            <w:tcW w:w="43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920,746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$74.32</w:t>
            </w:r>
          </w:p>
        </w:tc>
      </w:tr>
      <w:tr>
        <w:trPr>
          <w:trHeight w:val="184"/>
        </w:trPr>
        <w:tc>
          <w:tcPr>
            <w:tcW w:w="538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Granted</w:t>
            </w:r>
          </w:p>
        </w:tc>
        <w:tc>
          <w:tcPr>
            <w:tcW w:w="4380" w:type="dxa"/>
            <w:vAlign w:val="bottom"/>
          </w:tcPr>
          <w:p>
            <w:pPr>
              <w:jc w:val="right"/>
              <w:ind w:right="396"/>
              <w:spacing w:after="0"/>
              <w:rPr>
                <w:sz w:val="20"/>
                <w:szCs w:val="20"/>
                <w:color w:val="auto"/>
              </w:rPr>
            </w:pPr>
            <w:r>
              <w:rPr>
                <w:rFonts w:ascii="Arial" w:cs="Arial" w:eastAsia="Arial" w:hAnsi="Arial"/>
                <w:sz w:val="13"/>
                <w:szCs w:val="13"/>
                <w:color w:val="auto"/>
              </w:rPr>
              <w:t>97,112</w:t>
            </w:r>
          </w:p>
        </w:tc>
        <w:tc>
          <w:tcPr>
            <w:tcW w:w="1520" w:type="dxa"/>
            <w:vAlign w:val="bottom"/>
          </w:tcPr>
          <w:p>
            <w:pPr>
              <w:jc w:val="right"/>
              <w:spacing w:after="0"/>
              <w:rPr>
                <w:sz w:val="20"/>
                <w:szCs w:val="20"/>
                <w:color w:val="auto"/>
              </w:rPr>
            </w:pPr>
            <w:r>
              <w:rPr>
                <w:rFonts w:ascii="Arial" w:cs="Arial" w:eastAsia="Arial" w:hAnsi="Arial"/>
                <w:sz w:val="13"/>
                <w:szCs w:val="13"/>
                <w:color w:val="auto"/>
              </w:rPr>
              <w:t>$140.13</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438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(329,870)</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$65.54</w:t>
            </w:r>
          </w:p>
        </w:tc>
      </w:tr>
      <w:tr>
        <w:trPr>
          <w:trHeight w:val="168"/>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Forfeited</w:t>
            </w:r>
          </w:p>
        </w:tc>
        <w:tc>
          <w:tcPr>
            <w:tcW w:w="43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(31,881)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$88.12</w:t>
            </w:r>
          </w:p>
        </w:tc>
      </w:tr>
      <w:tr>
        <w:trPr>
          <w:trHeight w:val="184"/>
        </w:trPr>
        <w:tc>
          <w:tcPr>
            <w:tcW w:w="538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8"/>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2019</w:t>
            </w:r>
          </w:p>
        </w:tc>
        <w:tc>
          <w:tcPr>
            <w:tcW w:w="43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656,107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$87.80</w:t>
            </w:r>
          </w:p>
        </w:tc>
      </w:tr>
      <w:tr>
        <w:trPr>
          <w:trHeight w:val="184"/>
        </w:trPr>
        <w:tc>
          <w:tcPr>
            <w:tcW w:w="538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Granted</w:t>
            </w:r>
          </w:p>
        </w:tc>
        <w:tc>
          <w:tcPr>
            <w:tcW w:w="4380" w:type="dxa"/>
            <w:vAlign w:val="bottom"/>
          </w:tcPr>
          <w:p>
            <w:pPr>
              <w:jc w:val="right"/>
              <w:ind w:right="396"/>
              <w:spacing w:after="0"/>
              <w:rPr>
                <w:sz w:val="20"/>
                <w:szCs w:val="20"/>
                <w:color w:val="auto"/>
              </w:rPr>
            </w:pPr>
            <w:r>
              <w:rPr>
                <w:rFonts w:ascii="Arial" w:cs="Arial" w:eastAsia="Arial" w:hAnsi="Arial"/>
                <w:sz w:val="13"/>
                <w:szCs w:val="13"/>
                <w:color w:val="auto"/>
              </w:rPr>
              <w:t>107,737</w:t>
            </w:r>
          </w:p>
        </w:tc>
        <w:tc>
          <w:tcPr>
            <w:tcW w:w="1520" w:type="dxa"/>
            <w:vAlign w:val="bottom"/>
          </w:tcPr>
          <w:p>
            <w:pPr>
              <w:jc w:val="right"/>
              <w:spacing w:after="0"/>
              <w:rPr>
                <w:sz w:val="20"/>
                <w:szCs w:val="20"/>
                <w:color w:val="auto"/>
              </w:rPr>
            </w:pPr>
            <w:r>
              <w:rPr>
                <w:rFonts w:ascii="Arial" w:cs="Arial" w:eastAsia="Arial" w:hAnsi="Arial"/>
                <w:sz w:val="13"/>
                <w:szCs w:val="13"/>
                <w:color w:val="auto"/>
              </w:rPr>
              <w:t>$159.83</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438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(193,417)</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$68.19</w:t>
            </w:r>
          </w:p>
        </w:tc>
      </w:tr>
      <w:tr>
        <w:trPr>
          <w:trHeight w:val="168"/>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Forfeited</w:t>
            </w:r>
          </w:p>
        </w:tc>
        <w:tc>
          <w:tcPr>
            <w:tcW w:w="43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(16,681)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$92.21</w:t>
            </w:r>
          </w:p>
        </w:tc>
      </w:tr>
      <w:tr>
        <w:trPr>
          <w:trHeight w:val="184"/>
        </w:trPr>
        <w:tc>
          <w:tcPr>
            <w:tcW w:w="538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71"/>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Outstanding at 31 December 2020</w:t>
            </w:r>
          </w:p>
        </w:tc>
        <w:tc>
          <w:tcPr>
            <w:tcW w:w="43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553,746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$108.53</w:t>
            </w:r>
          </w:p>
        </w:tc>
      </w:tr>
      <w:tr>
        <w:trPr>
          <w:trHeight w:val="191"/>
        </w:trPr>
        <w:tc>
          <w:tcPr>
            <w:tcW w:w="5380" w:type="dxa"/>
            <w:vAlign w:val="bottom"/>
            <w:shd w:val="clear" w:color="auto" w:fill="CCEEFF"/>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71"/>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Exercisable at 31 December 2020</w:t>
            </w:r>
          </w:p>
        </w:tc>
        <w:tc>
          <w:tcPr>
            <w:tcW w:w="43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224,845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$83.13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intrinsic value of the Company’s shares on date of exercise of share options during the year ended 31 December 2020 was $110.09 (31 December 2019: $79.51).</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696" w:right="31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2020, the range of exercise prices and weighted average remaining contractual life of outstanding and exercisable options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spacing w:after="0"/>
              <w:rPr>
                <w:sz w:val="14"/>
                <w:szCs w:val="14"/>
                <w:color w:val="auto"/>
              </w:rPr>
            </w:pPr>
          </w:p>
        </w:tc>
        <w:tc>
          <w:tcPr>
            <w:tcW w:w="3420" w:type="dxa"/>
            <w:vAlign w:val="bottom"/>
            <w:tcBorders>
              <w:bottom w:val="single" w:sz="8" w:color="auto"/>
            </w:tcBorders>
            <w:gridSpan w:val="2"/>
            <w:shd w:val="clear" w:color="auto" w:fill="CCEEFF"/>
          </w:tcPr>
          <w:p>
            <w:pPr>
              <w:jc w:val="right"/>
              <w:ind w:right="1416"/>
              <w:spacing w:after="0"/>
              <w:rPr>
                <w:sz w:val="20"/>
                <w:szCs w:val="20"/>
                <w:color w:val="auto"/>
              </w:rPr>
            </w:pPr>
            <w:r>
              <w:rPr>
                <w:rFonts w:ascii="Arial" w:cs="Arial" w:eastAsia="Arial" w:hAnsi="Arial"/>
                <w:sz w:val="13"/>
                <w:szCs w:val="13"/>
                <w:b w:val="1"/>
                <w:bCs w:val="1"/>
                <w:color w:val="auto"/>
              </w:rPr>
              <w:t>Options Outstanding</w:t>
            </w:r>
          </w:p>
        </w:tc>
        <w:tc>
          <w:tcPr>
            <w:tcW w:w="2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gridSpan w:val="3"/>
            <w:shd w:val="clear" w:color="auto" w:fill="CCEEFF"/>
          </w:tcPr>
          <w:p>
            <w:pPr>
              <w:jc w:val="right"/>
              <w:ind w:right="1236"/>
              <w:spacing w:after="0"/>
              <w:rPr>
                <w:sz w:val="20"/>
                <w:szCs w:val="20"/>
                <w:color w:val="auto"/>
              </w:rPr>
            </w:pPr>
            <w:r>
              <w:rPr>
                <w:rFonts w:ascii="Arial" w:cs="Arial" w:eastAsia="Arial" w:hAnsi="Arial"/>
                <w:sz w:val="13"/>
                <w:szCs w:val="13"/>
                <w:b w:val="1"/>
                <w:bCs w:val="1"/>
                <w:color w:val="auto"/>
              </w:rPr>
              <w:t>Options Exercisable</w:t>
            </w:r>
          </w:p>
        </w:tc>
      </w:tr>
      <w:tr>
        <w:trPr>
          <w:trHeight w:val="118"/>
        </w:trPr>
        <w:tc>
          <w:tcPr>
            <w:tcW w:w="400" w:type="dxa"/>
            <w:vAlign w:val="bottom"/>
          </w:tcPr>
          <w:p>
            <w:pPr>
              <w:spacing w:after="0"/>
              <w:rPr>
                <w:sz w:val="10"/>
                <w:szCs w:val="10"/>
                <w:color w:val="auto"/>
              </w:rPr>
            </w:pPr>
          </w:p>
        </w:tc>
        <w:tc>
          <w:tcPr>
            <w:tcW w:w="2000" w:type="dxa"/>
            <w:vAlign w:val="bottom"/>
          </w:tcPr>
          <w:p>
            <w:pPr>
              <w:jc w:val="right"/>
              <w:ind w:right="336"/>
              <w:spacing w:after="0" w:line="118" w:lineRule="exact"/>
              <w:rPr>
                <w:sz w:val="20"/>
                <w:szCs w:val="20"/>
                <w:color w:val="auto"/>
              </w:rPr>
            </w:pPr>
            <w:r>
              <w:rPr>
                <w:rFonts w:ascii="Arial" w:cs="Arial" w:eastAsia="Arial" w:hAnsi="Arial"/>
                <w:sz w:val="13"/>
                <w:szCs w:val="13"/>
                <w:b w:val="1"/>
                <w:bCs w:val="1"/>
                <w:color w:val="auto"/>
              </w:rPr>
              <w:t>Range Exercise Price</w:t>
            </w:r>
          </w:p>
        </w:tc>
        <w:tc>
          <w:tcPr>
            <w:tcW w:w="156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Number of Shares</w:t>
            </w:r>
          </w:p>
        </w:tc>
        <w:tc>
          <w:tcPr>
            <w:tcW w:w="186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Weighted Average Remaining</w:t>
            </w:r>
          </w:p>
        </w:tc>
        <w:tc>
          <w:tcPr>
            <w:tcW w:w="280" w:type="dxa"/>
            <w:vAlign w:val="bottom"/>
          </w:tcPr>
          <w:p>
            <w:pPr>
              <w:spacing w:after="0"/>
              <w:rPr>
                <w:sz w:val="10"/>
                <w:szCs w:val="10"/>
                <w:color w:val="auto"/>
              </w:rPr>
            </w:pPr>
          </w:p>
        </w:tc>
        <w:tc>
          <w:tcPr>
            <w:tcW w:w="1720" w:type="dxa"/>
            <w:vAlign w:val="bottom"/>
          </w:tcPr>
          <w:p>
            <w:pPr>
              <w:jc w:val="right"/>
              <w:ind w:right="356"/>
              <w:spacing w:after="0" w:line="118" w:lineRule="exact"/>
              <w:rPr>
                <w:sz w:val="20"/>
                <w:szCs w:val="20"/>
                <w:color w:val="auto"/>
              </w:rPr>
            </w:pPr>
            <w:r>
              <w:rPr>
                <w:rFonts w:ascii="Arial" w:cs="Arial" w:eastAsia="Arial" w:hAnsi="Arial"/>
                <w:sz w:val="13"/>
                <w:szCs w:val="13"/>
                <w:b w:val="1"/>
                <w:bCs w:val="1"/>
                <w:color w:val="auto"/>
              </w:rPr>
              <w:t>Weighted Average</w:t>
            </w:r>
          </w:p>
        </w:tc>
        <w:tc>
          <w:tcPr>
            <w:tcW w:w="15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Number of Shares</w:t>
            </w:r>
          </w:p>
        </w:tc>
        <w:tc>
          <w:tcPr>
            <w:tcW w:w="160" w:type="dxa"/>
            <w:vAlign w:val="bottom"/>
          </w:tcPr>
          <w:p>
            <w:pPr>
              <w:spacing w:after="0"/>
              <w:rPr>
                <w:sz w:val="10"/>
                <w:szCs w:val="10"/>
                <w:color w:val="auto"/>
              </w:rPr>
            </w:pPr>
          </w:p>
        </w:tc>
        <w:tc>
          <w:tcPr>
            <w:tcW w:w="176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Weighted Average Exercise</w:t>
            </w:r>
          </w:p>
        </w:tc>
      </w:tr>
      <w:tr>
        <w:trPr>
          <w:trHeight w:val="169"/>
        </w:trPr>
        <w:tc>
          <w:tcPr>
            <w:tcW w:w="4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Contractual Life</w:t>
            </w: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Exercise Price</w:t>
            </w:r>
          </w:p>
        </w:tc>
        <w:tc>
          <w:tcPr>
            <w:tcW w:w="1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Price</w:t>
            </w:r>
          </w:p>
        </w:tc>
      </w:tr>
      <w:tr>
        <w:trPr>
          <w:trHeight w:val="161"/>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32.37</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2,500</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0.33</w:t>
            </w:r>
          </w:p>
        </w:tc>
        <w:tc>
          <w:tcPr>
            <w:tcW w:w="2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168"/>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ind w:right="376"/>
              <w:spacing w:after="0"/>
              <w:rPr>
                <w:sz w:val="20"/>
                <w:szCs w:val="20"/>
                <w:color w:val="auto"/>
              </w:rPr>
            </w:pPr>
            <w:r>
              <w:rPr>
                <w:rFonts w:ascii="Arial" w:cs="Arial" w:eastAsia="Arial" w:hAnsi="Arial"/>
                <w:sz w:val="13"/>
                <w:szCs w:val="13"/>
                <w:color w:val="auto"/>
              </w:rPr>
              <w:t>37.90</w:t>
            </w:r>
          </w:p>
        </w:tc>
        <w:tc>
          <w:tcPr>
            <w:tcW w:w="1560" w:type="dxa"/>
            <w:vAlign w:val="bottom"/>
          </w:tcPr>
          <w:p>
            <w:pPr>
              <w:jc w:val="right"/>
              <w:ind w:right="36"/>
              <w:spacing w:after="0"/>
              <w:rPr>
                <w:sz w:val="20"/>
                <w:szCs w:val="20"/>
                <w:color w:val="auto"/>
              </w:rPr>
            </w:pPr>
            <w:r>
              <w:rPr>
                <w:rFonts w:ascii="Arial" w:cs="Arial" w:eastAsia="Arial" w:hAnsi="Arial"/>
                <w:sz w:val="13"/>
                <w:szCs w:val="13"/>
                <w:color w:val="auto"/>
              </w:rPr>
              <w:t>920</w:t>
            </w:r>
          </w:p>
        </w:tc>
        <w:tc>
          <w:tcPr>
            <w:tcW w:w="1860" w:type="dxa"/>
            <w:vAlign w:val="bottom"/>
          </w:tcPr>
          <w:p>
            <w:pPr>
              <w:jc w:val="right"/>
              <w:spacing w:after="0"/>
              <w:rPr>
                <w:sz w:val="20"/>
                <w:szCs w:val="20"/>
                <w:color w:val="auto"/>
              </w:rPr>
            </w:pPr>
            <w:r>
              <w:rPr>
                <w:rFonts w:ascii="Arial" w:cs="Arial" w:eastAsia="Arial" w:hAnsi="Arial"/>
                <w:sz w:val="13"/>
                <w:szCs w:val="13"/>
                <w:color w:val="auto"/>
              </w:rPr>
              <w:t>0.92</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920</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40.83</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21,360</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21,360</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8"/>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ind w:right="376"/>
              <w:spacing w:after="0"/>
              <w:rPr>
                <w:sz w:val="20"/>
                <w:szCs w:val="20"/>
                <w:color w:val="auto"/>
              </w:rPr>
            </w:pPr>
            <w:r>
              <w:rPr>
                <w:rFonts w:ascii="Arial" w:cs="Arial" w:eastAsia="Arial" w:hAnsi="Arial"/>
                <w:sz w:val="13"/>
                <w:szCs w:val="13"/>
                <w:color w:val="auto"/>
              </w:rPr>
              <w:t>47.03</w:t>
            </w:r>
          </w:p>
        </w:tc>
        <w:tc>
          <w:tcPr>
            <w:tcW w:w="1560" w:type="dxa"/>
            <w:vAlign w:val="bottom"/>
          </w:tcPr>
          <w:p>
            <w:pPr>
              <w:jc w:val="right"/>
              <w:ind w:right="36"/>
              <w:spacing w:after="0"/>
              <w:rPr>
                <w:sz w:val="20"/>
                <w:szCs w:val="20"/>
                <w:color w:val="auto"/>
              </w:rPr>
            </w:pPr>
            <w:r>
              <w:rPr>
                <w:rFonts w:ascii="Arial" w:cs="Arial" w:eastAsia="Arial" w:hAnsi="Arial"/>
                <w:sz w:val="13"/>
                <w:szCs w:val="13"/>
                <w:color w:val="auto"/>
              </w:rPr>
              <w:t>479</w:t>
            </w:r>
          </w:p>
        </w:tc>
        <w:tc>
          <w:tcPr>
            <w:tcW w:w="1860" w:type="dxa"/>
            <w:vAlign w:val="bottom"/>
          </w:tcPr>
          <w:p>
            <w:pPr>
              <w:jc w:val="right"/>
              <w:spacing w:after="0"/>
              <w:rPr>
                <w:sz w:val="20"/>
                <w:szCs w:val="20"/>
                <w:color w:val="auto"/>
              </w:rPr>
            </w:pPr>
            <w:r>
              <w:rPr>
                <w:rFonts w:ascii="Arial" w:cs="Arial" w:eastAsia="Arial" w:hAnsi="Arial"/>
                <w:sz w:val="13"/>
                <w:szCs w:val="13"/>
                <w:color w:val="auto"/>
              </w:rPr>
              <w:t>1.16</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479</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48.67</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1,027</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8"/>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ind w:right="376"/>
              <w:spacing w:after="0"/>
              <w:rPr>
                <w:sz w:val="20"/>
                <w:szCs w:val="20"/>
                <w:color w:val="auto"/>
              </w:rPr>
            </w:pPr>
            <w:r>
              <w:rPr>
                <w:rFonts w:ascii="Arial" w:cs="Arial" w:eastAsia="Arial" w:hAnsi="Arial"/>
                <w:sz w:val="13"/>
                <w:szCs w:val="13"/>
                <w:color w:val="auto"/>
              </w:rPr>
              <w:t>65.60</w:t>
            </w:r>
          </w:p>
        </w:tc>
        <w:tc>
          <w:tcPr>
            <w:tcW w:w="1560" w:type="dxa"/>
            <w:vAlign w:val="bottom"/>
          </w:tcPr>
          <w:p>
            <w:pPr>
              <w:jc w:val="right"/>
              <w:ind w:right="36"/>
              <w:spacing w:after="0"/>
              <w:rPr>
                <w:sz w:val="20"/>
                <w:szCs w:val="20"/>
                <w:color w:val="auto"/>
              </w:rPr>
            </w:pPr>
            <w:r>
              <w:rPr>
                <w:rFonts w:ascii="Arial" w:cs="Arial" w:eastAsia="Arial" w:hAnsi="Arial"/>
                <w:sz w:val="13"/>
                <w:szCs w:val="13"/>
                <w:color w:val="auto"/>
              </w:rPr>
              <w:t>29,381</w:t>
            </w:r>
          </w:p>
        </w:tc>
        <w:tc>
          <w:tcPr>
            <w:tcW w:w="1860" w:type="dxa"/>
            <w:vAlign w:val="bottom"/>
          </w:tcPr>
          <w:p>
            <w:pPr>
              <w:jc w:val="right"/>
              <w:spacing w:after="0"/>
              <w:rPr>
                <w:sz w:val="20"/>
                <w:szCs w:val="20"/>
                <w:color w:val="auto"/>
              </w:rPr>
            </w:pPr>
            <w:r>
              <w:rPr>
                <w:rFonts w:ascii="Arial" w:cs="Arial" w:eastAsia="Arial" w:hAnsi="Arial"/>
                <w:sz w:val="13"/>
                <w:szCs w:val="13"/>
                <w:color w:val="auto"/>
              </w:rPr>
              <w:t>3.38</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19,528</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66.47</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2,621</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2,621</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8"/>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ind w:right="376"/>
              <w:spacing w:after="0"/>
              <w:rPr>
                <w:sz w:val="20"/>
                <w:szCs w:val="20"/>
                <w:color w:val="auto"/>
              </w:rPr>
            </w:pPr>
            <w:r>
              <w:rPr>
                <w:rFonts w:ascii="Arial" w:cs="Arial" w:eastAsia="Arial" w:hAnsi="Arial"/>
                <w:sz w:val="13"/>
                <w:szCs w:val="13"/>
                <w:color w:val="auto"/>
              </w:rPr>
              <w:t>68.39</w:t>
            </w:r>
          </w:p>
        </w:tc>
        <w:tc>
          <w:tcPr>
            <w:tcW w:w="1560" w:type="dxa"/>
            <w:vAlign w:val="bottom"/>
          </w:tcPr>
          <w:p>
            <w:pPr>
              <w:jc w:val="right"/>
              <w:ind w:right="36"/>
              <w:spacing w:after="0"/>
              <w:rPr>
                <w:sz w:val="20"/>
                <w:szCs w:val="20"/>
                <w:color w:val="auto"/>
              </w:rPr>
            </w:pPr>
            <w:r>
              <w:rPr>
                <w:rFonts w:ascii="Arial" w:cs="Arial" w:eastAsia="Arial" w:hAnsi="Arial"/>
                <w:sz w:val="13"/>
                <w:szCs w:val="13"/>
                <w:color w:val="auto"/>
              </w:rPr>
              <w:t>24,508</w:t>
            </w:r>
          </w:p>
        </w:tc>
        <w:tc>
          <w:tcPr>
            <w:tcW w:w="1860" w:type="dxa"/>
            <w:vAlign w:val="bottom"/>
          </w:tcPr>
          <w:p>
            <w:pPr>
              <w:jc w:val="right"/>
              <w:spacing w:after="0"/>
              <w:rPr>
                <w:sz w:val="20"/>
                <w:szCs w:val="20"/>
                <w:color w:val="auto"/>
              </w:rPr>
            </w:pPr>
            <w:r>
              <w:rPr>
                <w:rFonts w:ascii="Arial" w:cs="Arial" w:eastAsia="Arial" w:hAnsi="Arial"/>
                <w:sz w:val="13"/>
                <w:szCs w:val="13"/>
                <w:color w:val="auto"/>
              </w:rPr>
              <w:t>2.18</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24,508</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71.95</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73,193</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59,284</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8"/>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ind w:right="376"/>
              <w:spacing w:after="0"/>
              <w:rPr>
                <w:sz w:val="20"/>
                <w:szCs w:val="20"/>
                <w:color w:val="auto"/>
              </w:rPr>
            </w:pPr>
            <w:r>
              <w:rPr>
                <w:rFonts w:ascii="Arial" w:cs="Arial" w:eastAsia="Arial" w:hAnsi="Arial"/>
                <w:sz w:val="13"/>
                <w:szCs w:val="13"/>
                <w:color w:val="auto"/>
              </w:rPr>
              <w:t>83.47</w:t>
            </w:r>
          </w:p>
        </w:tc>
        <w:tc>
          <w:tcPr>
            <w:tcW w:w="1560" w:type="dxa"/>
            <w:vAlign w:val="bottom"/>
          </w:tcPr>
          <w:p>
            <w:pPr>
              <w:jc w:val="right"/>
              <w:ind w:right="36"/>
              <w:spacing w:after="0"/>
              <w:rPr>
                <w:sz w:val="20"/>
                <w:szCs w:val="20"/>
                <w:color w:val="auto"/>
              </w:rPr>
            </w:pPr>
            <w:r>
              <w:rPr>
                <w:rFonts w:ascii="Arial" w:cs="Arial" w:eastAsia="Arial" w:hAnsi="Arial"/>
                <w:sz w:val="13"/>
                <w:szCs w:val="13"/>
                <w:color w:val="auto"/>
              </w:rPr>
              <w:t>58,159</w:t>
            </w:r>
          </w:p>
        </w:tc>
        <w:tc>
          <w:tcPr>
            <w:tcW w:w="1860" w:type="dxa"/>
            <w:vAlign w:val="bottom"/>
          </w:tcPr>
          <w:p>
            <w:pPr>
              <w:jc w:val="right"/>
              <w:spacing w:after="0"/>
              <w:rPr>
                <w:sz w:val="20"/>
                <w:szCs w:val="20"/>
                <w:color w:val="auto"/>
              </w:rPr>
            </w:pPr>
            <w:r>
              <w:rPr>
                <w:rFonts w:ascii="Arial" w:cs="Arial" w:eastAsia="Arial" w:hAnsi="Arial"/>
                <w:sz w:val="13"/>
                <w:szCs w:val="13"/>
                <w:color w:val="auto"/>
              </w:rPr>
              <w:t>4.17</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10,671</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90.03</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45,154</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27,698</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8"/>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ind w:right="376"/>
              <w:spacing w:after="0"/>
              <w:rPr>
                <w:sz w:val="20"/>
                <w:szCs w:val="20"/>
                <w:color w:val="auto"/>
              </w:rPr>
            </w:pPr>
            <w:r>
              <w:rPr>
                <w:rFonts w:ascii="Arial" w:cs="Arial" w:eastAsia="Arial" w:hAnsi="Arial"/>
                <w:sz w:val="13"/>
                <w:szCs w:val="13"/>
                <w:color w:val="auto"/>
              </w:rPr>
              <w:t>115.11</w:t>
            </w:r>
          </w:p>
        </w:tc>
        <w:tc>
          <w:tcPr>
            <w:tcW w:w="1560" w:type="dxa"/>
            <w:vAlign w:val="bottom"/>
          </w:tcPr>
          <w:p>
            <w:pPr>
              <w:jc w:val="right"/>
              <w:ind w:right="36"/>
              <w:spacing w:after="0"/>
              <w:rPr>
                <w:sz w:val="20"/>
                <w:szCs w:val="20"/>
                <w:color w:val="auto"/>
              </w:rPr>
            </w:pPr>
            <w:r>
              <w:rPr>
                <w:rFonts w:ascii="Arial" w:cs="Arial" w:eastAsia="Arial" w:hAnsi="Arial"/>
                <w:sz w:val="13"/>
                <w:szCs w:val="13"/>
                <w:color w:val="auto"/>
              </w:rPr>
              <w:t>68,016</w:t>
            </w:r>
          </w:p>
        </w:tc>
        <w:tc>
          <w:tcPr>
            <w:tcW w:w="1860" w:type="dxa"/>
            <w:vAlign w:val="bottom"/>
          </w:tcPr>
          <w:p>
            <w:pPr>
              <w:jc w:val="right"/>
              <w:spacing w:after="0"/>
              <w:rPr>
                <w:sz w:val="20"/>
                <w:szCs w:val="20"/>
                <w:color w:val="auto"/>
              </w:rPr>
            </w:pPr>
            <w:r>
              <w:rPr>
                <w:rFonts w:ascii="Arial" w:cs="Arial" w:eastAsia="Arial" w:hAnsi="Arial"/>
                <w:sz w:val="13"/>
                <w:szCs w:val="13"/>
                <w:color w:val="auto"/>
              </w:rPr>
              <w:t>5.17</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8,866</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125.74</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39,664</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36,885</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8"/>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ind w:right="376"/>
              <w:spacing w:after="0"/>
              <w:rPr>
                <w:sz w:val="20"/>
                <w:szCs w:val="20"/>
                <w:color w:val="auto"/>
              </w:rPr>
            </w:pPr>
            <w:r>
              <w:rPr>
                <w:rFonts w:ascii="Arial" w:cs="Arial" w:eastAsia="Arial" w:hAnsi="Arial"/>
                <w:sz w:val="13"/>
                <w:szCs w:val="13"/>
                <w:color w:val="auto"/>
              </w:rPr>
              <w:t>137.47</w:t>
            </w:r>
          </w:p>
        </w:tc>
        <w:tc>
          <w:tcPr>
            <w:tcW w:w="1560" w:type="dxa"/>
            <w:vAlign w:val="bottom"/>
          </w:tcPr>
          <w:p>
            <w:pPr>
              <w:jc w:val="right"/>
              <w:ind w:right="36"/>
              <w:spacing w:after="0"/>
              <w:rPr>
                <w:sz w:val="20"/>
                <w:szCs w:val="20"/>
                <w:color w:val="auto"/>
              </w:rPr>
            </w:pPr>
            <w:r>
              <w:rPr>
                <w:rFonts w:ascii="Arial" w:cs="Arial" w:eastAsia="Arial" w:hAnsi="Arial"/>
                <w:sz w:val="13"/>
                <w:szCs w:val="13"/>
                <w:color w:val="auto"/>
              </w:rPr>
              <w:t>6,045</w:t>
            </w:r>
          </w:p>
        </w:tc>
        <w:tc>
          <w:tcPr>
            <w:tcW w:w="1860" w:type="dxa"/>
            <w:vAlign w:val="bottom"/>
          </w:tcPr>
          <w:p>
            <w:pPr>
              <w:jc w:val="right"/>
              <w:spacing w:after="0"/>
              <w:rPr>
                <w:sz w:val="20"/>
                <w:szCs w:val="20"/>
                <w:color w:val="auto"/>
              </w:rPr>
            </w:pPr>
            <w:r>
              <w:rPr>
                <w:rFonts w:ascii="Arial" w:cs="Arial" w:eastAsia="Arial" w:hAnsi="Arial"/>
                <w:sz w:val="13"/>
                <w:szCs w:val="13"/>
                <w:color w:val="auto"/>
              </w:rPr>
              <w:t>6.37</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895</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140.38</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75,061</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7,603</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8"/>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tcPr>
          <w:p>
            <w:pPr>
              <w:jc w:val="right"/>
              <w:ind w:right="376"/>
              <w:spacing w:after="0"/>
              <w:rPr>
                <w:sz w:val="20"/>
                <w:szCs w:val="20"/>
                <w:color w:val="auto"/>
              </w:rPr>
            </w:pPr>
            <w:r>
              <w:rPr>
                <w:rFonts w:ascii="Arial" w:cs="Arial" w:eastAsia="Arial" w:hAnsi="Arial"/>
                <w:sz w:val="13"/>
                <w:szCs w:val="13"/>
                <w:color w:val="auto"/>
              </w:rPr>
              <w:t>159.33</w:t>
            </w:r>
          </w:p>
        </w:tc>
        <w:tc>
          <w:tcPr>
            <w:tcW w:w="1560" w:type="dxa"/>
            <w:vAlign w:val="bottom"/>
          </w:tcPr>
          <w:p>
            <w:pPr>
              <w:jc w:val="right"/>
              <w:ind w:right="36"/>
              <w:spacing w:after="0"/>
              <w:rPr>
                <w:sz w:val="20"/>
                <w:szCs w:val="20"/>
                <w:color w:val="auto"/>
              </w:rPr>
            </w:pPr>
            <w:r>
              <w:rPr>
                <w:rFonts w:ascii="Arial" w:cs="Arial" w:eastAsia="Arial" w:hAnsi="Arial"/>
                <w:sz w:val="13"/>
                <w:szCs w:val="13"/>
                <w:color w:val="auto"/>
              </w:rPr>
              <w:t>98,128</w:t>
            </w:r>
          </w:p>
        </w:tc>
        <w:tc>
          <w:tcPr>
            <w:tcW w:w="1860" w:type="dxa"/>
            <w:vAlign w:val="bottom"/>
          </w:tcPr>
          <w:p>
            <w:pPr>
              <w:jc w:val="right"/>
              <w:spacing w:after="0"/>
              <w:rPr>
                <w:sz w:val="20"/>
                <w:szCs w:val="20"/>
                <w:color w:val="auto"/>
              </w:rPr>
            </w:pPr>
            <w:r>
              <w:rPr>
                <w:rFonts w:ascii="Arial" w:cs="Arial" w:eastAsia="Arial" w:hAnsi="Arial"/>
                <w:sz w:val="13"/>
                <w:szCs w:val="13"/>
                <w:color w:val="auto"/>
              </w:rPr>
              <w:t>7.17</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166.51</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7,530</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02"/>
        </w:trPr>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60"/>
        </w:trPr>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$32.37 - $166.51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553,746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4.86</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w:t>
            </w:r>
          </w:p>
        </w:tc>
        <w:tc>
          <w:tcPr>
            <w:tcW w:w="17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108.53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224,845</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83.13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2020 was $39.93 based on the following grants: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b w:val="1"/>
                <w:bCs w:val="1"/>
                <w:color w:val="auto"/>
              </w:rPr>
              <w:t>Grant Date</w:t>
            </w:r>
          </w:p>
        </w:tc>
        <w:tc>
          <w:tcPr>
            <w:tcW w:w="34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b w:val="1"/>
                <w:bCs w:val="1"/>
                <w:color w:val="auto"/>
              </w:rPr>
              <w:t>Number of Shares</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 Price</w:t>
            </w:r>
          </w:p>
        </w:tc>
      </w:tr>
      <w:tr>
        <w:trPr>
          <w:trHeight w:val="158"/>
        </w:trPr>
        <w:tc>
          <w:tcPr>
            <w:tcW w:w="4900" w:type="dxa"/>
            <w:vAlign w:val="bottom"/>
          </w:tcPr>
          <w:p>
            <w:pPr>
              <w:jc w:val="right"/>
              <w:ind w:right="1496"/>
              <w:spacing w:after="0"/>
              <w:rPr>
                <w:sz w:val="20"/>
                <w:szCs w:val="20"/>
                <w:color w:val="auto"/>
              </w:rPr>
            </w:pPr>
            <w:r>
              <w:rPr>
                <w:rFonts w:ascii="Arial" w:cs="Arial" w:eastAsia="Arial" w:hAnsi="Arial"/>
                <w:sz w:val="13"/>
                <w:szCs w:val="13"/>
                <w:color w:val="auto"/>
              </w:rPr>
              <w:t>3 Mar 20</w:t>
            </w:r>
          </w:p>
        </w:tc>
        <w:tc>
          <w:tcPr>
            <w:tcW w:w="3480" w:type="dxa"/>
            <w:vAlign w:val="bottom"/>
          </w:tcPr>
          <w:p>
            <w:pPr>
              <w:jc w:val="right"/>
              <w:ind w:right="816"/>
              <w:spacing w:after="0"/>
              <w:rPr>
                <w:sz w:val="20"/>
                <w:szCs w:val="20"/>
                <w:color w:val="auto"/>
              </w:rPr>
            </w:pPr>
            <w:r>
              <w:rPr>
                <w:rFonts w:ascii="Arial" w:cs="Arial" w:eastAsia="Arial" w:hAnsi="Arial"/>
                <w:sz w:val="13"/>
                <w:szCs w:val="13"/>
                <w:color w:val="auto"/>
              </w:rPr>
              <w:t>100,207</w:t>
            </w:r>
          </w:p>
        </w:tc>
        <w:tc>
          <w:tcPr>
            <w:tcW w:w="2880" w:type="dxa"/>
            <w:vAlign w:val="bottom"/>
          </w:tcPr>
          <w:p>
            <w:pPr>
              <w:jc w:val="right"/>
              <w:spacing w:after="0"/>
              <w:rPr>
                <w:sz w:val="20"/>
                <w:szCs w:val="20"/>
                <w:color w:val="auto"/>
              </w:rPr>
            </w:pPr>
            <w:r>
              <w:rPr>
                <w:rFonts w:ascii="Arial" w:cs="Arial" w:eastAsia="Arial" w:hAnsi="Arial"/>
                <w:sz w:val="13"/>
                <w:szCs w:val="13"/>
                <w:color w:val="auto"/>
              </w:rPr>
              <w:t>$159.33</w:t>
            </w:r>
          </w:p>
        </w:tc>
      </w:t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color w:val="auto"/>
              </w:rPr>
              <w:t>22 May 20</w:t>
            </w:r>
          </w:p>
        </w:tc>
        <w:tc>
          <w:tcPr>
            <w:tcW w:w="34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rPr>
              <w:t>7,530</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$166.51</w:t>
            </w:r>
          </w:p>
        </w:tc>
      </w:tr>
      <w:tr>
        <w:trPr>
          <w:trHeight w:val="184"/>
        </w:trPr>
        <w:tc>
          <w:tcPr>
            <w:tcW w:w="49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1"/>
        </w:trPr>
        <w:tc>
          <w:tcPr>
            <w:tcW w:w="4900" w:type="dxa"/>
            <w:vAlign w:val="bottom"/>
            <w:tcBorders>
              <w:bottom w:val="single" w:sz="8" w:color="auto"/>
            </w:tcBorders>
            <w:shd w:val="clear" w:color="auto" w:fill="CCEEFF"/>
          </w:tcPr>
          <w:p>
            <w:pPr>
              <w:spacing w:after="0"/>
              <w:rPr>
                <w:sz w:val="14"/>
                <w:szCs w:val="14"/>
                <w:color w:val="auto"/>
              </w:rPr>
            </w:pPr>
          </w:p>
        </w:tc>
        <w:tc>
          <w:tcPr>
            <w:tcW w:w="34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b w:val="1"/>
                <w:bCs w:val="1"/>
                <w:color w:val="auto"/>
              </w:rPr>
              <w:t>107,737</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$159.83</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2019 was $38.95 based on the following grants: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40" w:type="dxa"/>
            <w:vAlign w:val="bottom"/>
            <w:tcBorders>
              <w:bottom w:val="single" w:sz="8" w:color="auto"/>
            </w:tcBorders>
            <w:shd w:val="clear" w:color="auto" w:fill="CCEEFF"/>
          </w:tcPr>
          <w:p>
            <w:pPr>
              <w:jc w:val="right"/>
              <w:ind w:right="1416"/>
              <w:spacing w:after="0"/>
              <w:rPr>
                <w:sz w:val="20"/>
                <w:szCs w:val="20"/>
                <w:color w:val="auto"/>
              </w:rPr>
            </w:pPr>
            <w:r>
              <w:rPr>
                <w:rFonts w:ascii="Arial" w:cs="Arial" w:eastAsia="Arial" w:hAnsi="Arial"/>
                <w:sz w:val="13"/>
                <w:szCs w:val="13"/>
                <w:b w:val="1"/>
                <w:bCs w:val="1"/>
                <w:color w:val="auto"/>
              </w:rPr>
              <w:t>Grant Date</w:t>
            </w:r>
          </w:p>
        </w:tc>
        <w:tc>
          <w:tcPr>
            <w:tcW w:w="34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b w:val="1"/>
                <w:bCs w:val="1"/>
                <w:color w:val="auto"/>
              </w:rPr>
              <w:t>Number of Shares</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 Price</w:t>
            </w:r>
          </w:p>
        </w:tc>
      </w:tr>
      <w:tr>
        <w:trPr>
          <w:trHeight w:val="158"/>
        </w:trPr>
        <w:tc>
          <w:tcPr>
            <w:tcW w:w="5040" w:type="dxa"/>
            <w:vAlign w:val="bottom"/>
          </w:tcPr>
          <w:p>
            <w:pPr>
              <w:jc w:val="right"/>
              <w:ind w:right="1416"/>
              <w:spacing w:after="0"/>
              <w:rPr>
                <w:sz w:val="20"/>
                <w:szCs w:val="20"/>
                <w:color w:val="auto"/>
              </w:rPr>
            </w:pPr>
            <w:r>
              <w:rPr>
                <w:rFonts w:ascii="Arial" w:cs="Arial" w:eastAsia="Arial" w:hAnsi="Arial"/>
                <w:sz w:val="13"/>
                <w:szCs w:val="13"/>
                <w:color w:val="auto"/>
              </w:rPr>
              <w:t>3 Mar 19</w:t>
            </w:r>
          </w:p>
        </w:tc>
        <w:tc>
          <w:tcPr>
            <w:tcW w:w="3400" w:type="dxa"/>
            <w:vAlign w:val="bottom"/>
          </w:tcPr>
          <w:p>
            <w:pPr>
              <w:jc w:val="right"/>
              <w:ind w:right="736"/>
              <w:spacing w:after="0"/>
              <w:rPr>
                <w:sz w:val="20"/>
                <w:szCs w:val="20"/>
                <w:color w:val="auto"/>
              </w:rPr>
            </w:pPr>
            <w:r>
              <w:rPr>
                <w:rFonts w:ascii="Arial" w:cs="Arial" w:eastAsia="Arial" w:hAnsi="Arial"/>
                <w:sz w:val="13"/>
                <w:szCs w:val="13"/>
                <w:color w:val="auto"/>
              </w:rPr>
              <w:t>88,734</w:t>
            </w:r>
          </w:p>
        </w:tc>
        <w:tc>
          <w:tcPr>
            <w:tcW w:w="2840" w:type="dxa"/>
            <w:vAlign w:val="bottom"/>
          </w:tcPr>
          <w:p>
            <w:pPr>
              <w:jc w:val="right"/>
              <w:spacing w:after="0"/>
              <w:rPr>
                <w:sz w:val="20"/>
                <w:szCs w:val="20"/>
                <w:color w:val="auto"/>
              </w:rPr>
            </w:pPr>
            <w:r>
              <w:rPr>
                <w:rFonts w:ascii="Arial" w:cs="Arial" w:eastAsia="Arial" w:hAnsi="Arial"/>
                <w:sz w:val="13"/>
                <w:szCs w:val="13"/>
                <w:color w:val="auto"/>
              </w:rPr>
              <w:t>$140.38</w:t>
            </w:r>
          </w:p>
        </w:tc>
      </w:tr>
      <w:tr>
        <w:trPr>
          <w:trHeight w:val="170"/>
        </w:trPr>
        <w:tc>
          <w:tcPr>
            <w:tcW w:w="5040" w:type="dxa"/>
            <w:vAlign w:val="bottom"/>
            <w:tcBorders>
              <w:bottom w:val="single" w:sz="8" w:color="auto"/>
            </w:tcBorders>
            <w:shd w:val="clear" w:color="auto" w:fill="CCEEFF"/>
          </w:tcPr>
          <w:p>
            <w:pPr>
              <w:jc w:val="right"/>
              <w:ind w:right="1416"/>
              <w:spacing w:after="0"/>
              <w:rPr>
                <w:sz w:val="20"/>
                <w:szCs w:val="20"/>
                <w:color w:val="auto"/>
              </w:rPr>
            </w:pPr>
            <w:r>
              <w:rPr>
                <w:rFonts w:ascii="Arial" w:cs="Arial" w:eastAsia="Arial" w:hAnsi="Arial"/>
                <w:sz w:val="13"/>
                <w:szCs w:val="13"/>
                <w:color w:val="auto"/>
              </w:rPr>
              <w:t>17 May 19</w:t>
            </w:r>
          </w:p>
        </w:tc>
        <w:tc>
          <w:tcPr>
            <w:tcW w:w="34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8,378</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$137.47</w:t>
            </w:r>
          </w:p>
        </w:tc>
      </w:tr>
      <w:tr>
        <w:trPr>
          <w:trHeight w:val="184"/>
        </w:trPr>
        <w:tc>
          <w:tcPr>
            <w:tcW w:w="50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1"/>
        </w:trPr>
        <w:tc>
          <w:tcPr>
            <w:tcW w:w="5040" w:type="dxa"/>
            <w:vAlign w:val="bottom"/>
            <w:tcBorders>
              <w:bottom w:val="single" w:sz="8" w:color="auto"/>
            </w:tcBorders>
            <w:shd w:val="clear" w:color="auto" w:fill="CCEEFF"/>
          </w:tcPr>
          <w:p>
            <w:pPr>
              <w:spacing w:after="0"/>
              <w:rPr>
                <w:sz w:val="14"/>
                <w:szCs w:val="14"/>
                <w:color w:val="auto"/>
              </w:rPr>
            </w:pPr>
          </w:p>
        </w:tc>
        <w:tc>
          <w:tcPr>
            <w:tcW w:w="34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97,112</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$140.13</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696" w:right="31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share options – Assumptions</w:t>
      </w:r>
    </w:p>
    <w:p>
      <w:pPr>
        <w:spacing w:after="0" w:line="202"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fair values of options granted during the year ended 31 December 2020 and the year ended 31 December 2019 were calculated using a binomial option-pricing-model, using the following assumptions: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Borders>
              <w:bottom w:val="single" w:sz="8" w:color="auto"/>
            </w:tcBorders>
            <w:shd w:val="clear" w:color="auto" w:fill="CCEEFF"/>
          </w:tcPr>
          <w:p>
            <w:pPr>
              <w:spacing w:after="0"/>
              <w:rPr>
                <w:sz w:val="14"/>
                <w:szCs w:val="14"/>
                <w:color w:val="auto"/>
              </w:rPr>
            </w:pPr>
          </w:p>
        </w:tc>
        <w:tc>
          <w:tcPr>
            <w:tcW w:w="42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Year ended 31 December 2020</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Year ended 31 December 2019</w:t>
            </w:r>
          </w:p>
        </w:tc>
      </w:tr>
      <w:tr>
        <w:trPr>
          <w:trHeight w:val="174"/>
        </w:trPr>
        <w:tc>
          <w:tcPr>
            <w:tcW w:w="4880" w:type="dxa"/>
            <w:vAlign w:val="bottom"/>
          </w:tcPr>
          <w:p>
            <w:pPr>
              <w:ind w:left="20"/>
              <w:spacing w:after="0"/>
              <w:rPr>
                <w:sz w:val="20"/>
                <w:szCs w:val="20"/>
                <w:color w:val="auto"/>
              </w:rPr>
            </w:pPr>
            <w:r>
              <w:rPr>
                <w:rFonts w:ascii="Arial" w:cs="Arial" w:eastAsia="Arial" w:hAnsi="Arial"/>
                <w:sz w:val="13"/>
                <w:szCs w:val="13"/>
                <w:color w:val="auto"/>
              </w:rPr>
              <w:t>Weighted average share price</w:t>
            </w:r>
          </w:p>
        </w:tc>
        <w:tc>
          <w:tcPr>
            <w:tcW w:w="4280" w:type="dxa"/>
            <w:vAlign w:val="bottom"/>
          </w:tcPr>
          <w:p>
            <w:pPr>
              <w:jc w:val="right"/>
              <w:ind w:right="456"/>
              <w:spacing w:after="0"/>
              <w:rPr>
                <w:sz w:val="20"/>
                <w:szCs w:val="20"/>
                <w:color w:val="auto"/>
              </w:rPr>
            </w:pPr>
            <w:r>
              <w:rPr>
                <w:rFonts w:ascii="Arial" w:cs="Arial" w:eastAsia="Arial" w:hAnsi="Arial"/>
                <w:sz w:val="13"/>
                <w:szCs w:val="13"/>
                <w:b w:val="1"/>
                <w:bCs w:val="1"/>
                <w:color w:val="auto"/>
              </w:rPr>
              <w:t>$159.83</w:t>
            </w:r>
          </w:p>
        </w:tc>
        <w:tc>
          <w:tcPr>
            <w:tcW w:w="2120" w:type="dxa"/>
            <w:vAlign w:val="bottom"/>
          </w:tcPr>
          <w:p>
            <w:pPr>
              <w:jc w:val="right"/>
              <w:ind w:right="96"/>
              <w:spacing w:after="0"/>
              <w:rPr>
                <w:sz w:val="20"/>
                <w:szCs w:val="20"/>
                <w:color w:val="auto"/>
              </w:rPr>
            </w:pPr>
            <w:r>
              <w:rPr>
                <w:rFonts w:ascii="Arial" w:cs="Arial" w:eastAsia="Arial" w:hAnsi="Arial"/>
                <w:sz w:val="13"/>
                <w:szCs w:val="13"/>
                <w:color w:val="auto"/>
              </w:rPr>
              <w:t>$140.13</w:t>
            </w:r>
          </w:p>
        </w:tc>
      </w:tr>
      <w:tr>
        <w:trPr>
          <w:trHeight w:val="177"/>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exercise price</w:t>
            </w:r>
          </w:p>
        </w:tc>
        <w:tc>
          <w:tcPr>
            <w:tcW w:w="42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$159.83</w:t>
            </w:r>
          </w:p>
        </w:tc>
        <w:tc>
          <w:tcPr>
            <w:tcW w:w="2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$140.13</w:t>
            </w: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Expected volatility </w:t>
            </w:r>
            <w:r>
              <w:rPr>
                <w:rFonts w:ascii="Arial" w:cs="Arial" w:eastAsia="Arial" w:hAnsi="Arial"/>
                <w:sz w:val="16"/>
                <w:szCs w:val="16"/>
                <w:color w:val="auto"/>
                <w:vertAlign w:val="superscript"/>
              </w:rPr>
              <w:t>(1)</w:t>
            </w:r>
          </w:p>
        </w:tc>
        <w:tc>
          <w:tcPr>
            <w:tcW w:w="4280" w:type="dxa"/>
            <w:vAlign w:val="bottom"/>
          </w:tcPr>
          <w:p>
            <w:pPr>
              <w:jc w:val="right"/>
              <w:ind w:right="296"/>
              <w:spacing w:after="0"/>
              <w:rPr>
                <w:sz w:val="20"/>
                <w:szCs w:val="20"/>
                <w:color w:val="auto"/>
              </w:rPr>
            </w:pPr>
            <w:r>
              <w:rPr>
                <w:rFonts w:ascii="Arial" w:cs="Arial" w:eastAsia="Arial" w:hAnsi="Arial"/>
                <w:sz w:val="13"/>
                <w:szCs w:val="13"/>
                <w:b w:val="1"/>
                <w:bCs w:val="1"/>
                <w:color w:val="auto"/>
              </w:rPr>
              <w:t>25.0 %</w:t>
            </w:r>
          </w:p>
        </w:tc>
        <w:tc>
          <w:tcPr>
            <w:tcW w:w="2120" w:type="dxa"/>
            <w:vAlign w:val="bottom"/>
          </w:tcPr>
          <w:p>
            <w:pPr>
              <w:jc w:val="right"/>
              <w:spacing w:after="0"/>
              <w:rPr>
                <w:sz w:val="20"/>
                <w:szCs w:val="20"/>
                <w:color w:val="auto"/>
              </w:rPr>
            </w:pPr>
            <w:r>
              <w:rPr>
                <w:rFonts w:ascii="Arial" w:cs="Arial" w:eastAsia="Arial" w:hAnsi="Arial"/>
                <w:sz w:val="13"/>
                <w:szCs w:val="13"/>
                <w:color w:val="auto"/>
              </w:rPr>
              <w:t>25.0 %</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42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w:t>
            </w:r>
          </w:p>
        </w:tc>
        <w:tc>
          <w:tcPr>
            <w:tcW w:w="2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Risk-free rate </w:t>
            </w:r>
            <w:r>
              <w:rPr>
                <w:rFonts w:ascii="Arial" w:cs="Arial" w:eastAsia="Arial" w:hAnsi="Arial"/>
                <w:sz w:val="16"/>
                <w:szCs w:val="16"/>
                <w:color w:val="auto"/>
                <w:vertAlign w:val="superscript"/>
              </w:rPr>
              <w:t>(2)</w:t>
            </w:r>
          </w:p>
        </w:tc>
        <w:tc>
          <w:tcPr>
            <w:tcW w:w="4280" w:type="dxa"/>
            <w:vAlign w:val="bottom"/>
          </w:tcPr>
          <w:p>
            <w:pPr>
              <w:jc w:val="right"/>
              <w:ind w:right="296"/>
              <w:spacing w:after="0"/>
              <w:rPr>
                <w:sz w:val="20"/>
                <w:szCs w:val="20"/>
                <w:color w:val="auto"/>
              </w:rPr>
            </w:pPr>
            <w:r>
              <w:rPr>
                <w:rFonts w:ascii="Arial" w:cs="Arial" w:eastAsia="Arial" w:hAnsi="Arial"/>
                <w:sz w:val="13"/>
                <w:szCs w:val="13"/>
                <w:b w:val="1"/>
                <w:bCs w:val="1"/>
                <w:color w:val="auto"/>
              </w:rPr>
              <w:t>0.5%-1.0%</w:t>
            </w:r>
          </w:p>
        </w:tc>
        <w:tc>
          <w:tcPr>
            <w:tcW w:w="2120" w:type="dxa"/>
            <w:vAlign w:val="bottom"/>
          </w:tcPr>
          <w:p>
            <w:pPr>
              <w:jc w:val="right"/>
              <w:spacing w:after="0"/>
              <w:rPr>
                <w:sz w:val="20"/>
                <w:szCs w:val="20"/>
                <w:color w:val="auto"/>
              </w:rPr>
            </w:pPr>
            <w:r>
              <w:rPr>
                <w:rFonts w:ascii="Arial" w:cs="Arial" w:eastAsia="Arial" w:hAnsi="Arial"/>
                <w:sz w:val="13"/>
                <w:szCs w:val="13"/>
                <w:color w:val="auto"/>
              </w:rPr>
              <w:t>2.2%-2.7%</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 of forced early exercise</w:t>
            </w:r>
          </w:p>
        </w:tc>
        <w:tc>
          <w:tcPr>
            <w:tcW w:w="42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10% p.a.</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p.a.</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Minimum gain for voluntary early exercise</w:t>
            </w:r>
          </w:p>
        </w:tc>
        <w:tc>
          <w:tcPr>
            <w:tcW w:w="4280" w:type="dxa"/>
            <w:vAlign w:val="bottom"/>
          </w:tcPr>
          <w:p>
            <w:pPr>
              <w:jc w:val="right"/>
              <w:ind w:right="296"/>
              <w:spacing w:after="0"/>
              <w:rPr>
                <w:sz w:val="20"/>
                <w:szCs w:val="20"/>
                <w:color w:val="auto"/>
              </w:rPr>
            </w:pPr>
            <w:r>
              <w:rPr>
                <w:rFonts w:ascii="Arial" w:cs="Arial" w:eastAsia="Arial" w:hAnsi="Arial"/>
                <w:sz w:val="13"/>
                <w:szCs w:val="13"/>
                <w:b w:val="1"/>
                <w:bCs w:val="1"/>
                <w:color w:val="auto"/>
              </w:rPr>
              <w:t>25% of exercise price</w:t>
            </w:r>
          </w:p>
        </w:tc>
        <w:tc>
          <w:tcPr>
            <w:tcW w:w="2120" w:type="dxa"/>
            <w:vAlign w:val="bottom"/>
          </w:tcPr>
          <w:p>
            <w:pPr>
              <w:jc w:val="right"/>
              <w:spacing w:after="0"/>
              <w:rPr>
                <w:sz w:val="20"/>
                <w:szCs w:val="20"/>
                <w:color w:val="auto"/>
              </w:rPr>
            </w:pPr>
            <w:r>
              <w:rPr>
                <w:rFonts w:ascii="Arial" w:cs="Arial" w:eastAsia="Arial" w:hAnsi="Arial"/>
                <w:sz w:val="13"/>
                <w:szCs w:val="13"/>
                <w:color w:val="auto"/>
              </w:rPr>
              <w:t>25% of exercise price</w:t>
            </w:r>
          </w:p>
        </w:tc>
      </w:tr>
      <w:tr>
        <w:trPr>
          <w:trHeight w:val="171"/>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Rate of voluntary early exercise at minimum gain</w:t>
            </w:r>
          </w:p>
        </w:tc>
        <w:tc>
          <w:tcPr>
            <w:tcW w:w="42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75% per annum</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 per annum</w:t>
            </w:r>
          </w:p>
        </w:tc>
      </w:tr>
    </w:tbl>
    <w:p>
      <w:pPr>
        <w:spacing w:after="0" w:line="78" w:lineRule="exact"/>
        <w:rPr>
          <w:sz w:val="20"/>
          <w:szCs w:val="20"/>
          <w:color w:val="auto"/>
        </w:rPr>
      </w:pPr>
    </w:p>
    <w:p>
      <w:pPr>
        <w:ind w:left="180" w:hanging="175"/>
        <w:spacing w:after="0"/>
        <w:tabs>
          <w:tab w:leader="none" w:pos="180" w:val="left"/>
        </w:tabs>
        <w:numPr>
          <w:ilvl w:val="0"/>
          <w:numId w:val="85"/>
        </w:numPr>
        <w:rPr>
          <w:rFonts w:ascii="Arial" w:cs="Arial" w:eastAsia="Arial" w:hAnsi="Arial"/>
          <w:sz w:val="11"/>
          <w:szCs w:val="11"/>
          <w:color w:val="auto"/>
        </w:rPr>
      </w:pPr>
      <w:r>
        <w:rPr>
          <w:rFonts w:ascii="Arial" w:cs="Arial" w:eastAsia="Arial" w:hAnsi="Arial"/>
          <w:sz w:val="11"/>
          <w:szCs w:val="11"/>
          <w:color w:val="auto"/>
        </w:rPr>
        <w:t>Expected volatility has been determined based upon the volatility of the Company’s share price over a period which is commensurate with the expected term of the options granted.</w:t>
      </w:r>
    </w:p>
    <w:p>
      <w:pPr>
        <w:ind w:left="180" w:hanging="175"/>
        <w:spacing w:after="0"/>
        <w:tabs>
          <w:tab w:leader="none" w:pos="180" w:val="left"/>
        </w:tabs>
        <w:numPr>
          <w:ilvl w:val="0"/>
          <w:numId w:val="85"/>
        </w:numPr>
        <w:rPr>
          <w:rFonts w:ascii="Arial" w:cs="Arial" w:eastAsia="Arial" w:hAnsi="Arial"/>
          <w:sz w:val="11"/>
          <w:szCs w:val="11"/>
          <w:color w:val="auto"/>
        </w:rPr>
      </w:pPr>
      <w:r>
        <w:rPr>
          <w:rFonts w:ascii="Arial" w:cs="Arial" w:eastAsia="Arial" w:hAnsi="Arial"/>
          <w:sz w:val="11"/>
          <w:szCs w:val="11"/>
          <w:color w:val="auto"/>
        </w:rPr>
        <w:t>Risk-free rate is dependent on the grant date and term of the award.</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Restricted share units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zero cost and vest over a service period. Awards under the 2013 RSU Plan may be settled in cash or shares at the option of the Company.</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30 April 2019 the Company approved the 2019 Consultants and Directors Restricted Share Unit Plan (the “2019 Consultants RSU Plan”), which was effective as of 16 May 2019, pursuant to which the Compensation and Organisation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2019 and 2020 vest over twelve months.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2020:</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shd w:val="clear" w:color="auto" w:fill="CCEEFF"/>
          </w:tcPr>
          <w:p>
            <w:pPr>
              <w:spacing w:after="0"/>
              <w:rPr>
                <w:sz w:val="12"/>
                <w:szCs w:val="12"/>
                <w:color w:val="auto"/>
              </w:rPr>
            </w:pPr>
          </w:p>
        </w:tc>
        <w:tc>
          <w:tcPr>
            <w:tcW w:w="250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RSU Outstanding</w:t>
            </w:r>
          </w:p>
        </w:tc>
        <w:tc>
          <w:tcPr>
            <w:tcW w:w="212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Weighted Average Grant</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PSU Outstanding</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Grant</w:t>
            </w:r>
          </w:p>
        </w:tc>
      </w:tr>
      <w:tr>
        <w:trPr>
          <w:trHeight w:val="169"/>
        </w:trPr>
        <w:tc>
          <w:tcPr>
            <w:tcW w:w="3260" w:type="dxa"/>
            <w:vAlign w:val="bottom"/>
            <w:tcBorders>
              <w:bottom w:val="single" w:sz="8" w:color="auto"/>
            </w:tcBorders>
            <w:shd w:val="clear" w:color="auto" w:fill="CCEEFF"/>
          </w:tcPr>
          <w:p>
            <w:pPr>
              <w:spacing w:after="0"/>
              <w:rPr>
                <w:sz w:val="14"/>
                <w:szCs w:val="14"/>
                <w:color w:val="auto"/>
              </w:rPr>
            </w:pPr>
          </w:p>
        </w:tc>
        <w:tc>
          <w:tcPr>
            <w:tcW w:w="25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Number of Shares</w:t>
            </w:r>
          </w:p>
        </w:tc>
        <w:tc>
          <w:tcPr>
            <w:tcW w:w="21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Date Fair Value</w:t>
            </w:r>
          </w:p>
        </w:tc>
        <w:tc>
          <w:tcPr>
            <w:tcW w:w="17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Number of Shares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Date Fair Value</w:t>
            </w:r>
          </w:p>
        </w:tc>
      </w:tr>
      <w:tr>
        <w:trPr>
          <w:trHeight w:val="182"/>
        </w:trPr>
        <w:tc>
          <w:tcPr>
            <w:tcW w:w="32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8"/>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2019</w:t>
            </w:r>
          </w:p>
        </w:tc>
        <w:tc>
          <w:tcPr>
            <w:tcW w:w="2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389,900</w:t>
            </w:r>
          </w:p>
        </w:tc>
        <w:tc>
          <w:tcPr>
            <w:tcW w:w="21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$119.07</w:t>
            </w:r>
          </w:p>
        </w:tc>
        <w:tc>
          <w:tcPr>
            <w:tcW w:w="17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175,989</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$110.79</w:t>
            </w:r>
          </w:p>
        </w:tc>
      </w:tr>
      <w:tr>
        <w:trPr>
          <w:trHeight w:val="184"/>
        </w:trPr>
        <w:tc>
          <w:tcPr>
            <w:tcW w:w="32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0"/>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Awarded</w:t>
            </w:r>
          </w:p>
        </w:tc>
        <w:tc>
          <w:tcPr>
            <w:tcW w:w="25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137,572</w:t>
            </w:r>
          </w:p>
        </w:tc>
        <w:tc>
          <w:tcPr>
            <w:tcW w:w="21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$168.03</w:t>
            </w:r>
          </w:p>
        </w:tc>
        <w:tc>
          <w:tcPr>
            <w:tcW w:w="17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57,184</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$165.30</w:t>
            </w:r>
          </w:p>
        </w:tc>
      </w:tr>
      <w:tr>
        <w:trPr>
          <w:trHeight w:val="168"/>
        </w:trPr>
        <w:tc>
          <w:tcPr>
            <w:tcW w:w="3260" w:type="dxa"/>
            <w:vAlign w:val="bottom"/>
          </w:tcPr>
          <w:p>
            <w:pPr>
              <w:ind w:left="20"/>
              <w:spacing w:after="0"/>
              <w:rPr>
                <w:sz w:val="20"/>
                <w:szCs w:val="20"/>
                <w:color w:val="auto"/>
              </w:rPr>
            </w:pPr>
            <w:r>
              <w:rPr>
                <w:rFonts w:ascii="Arial" w:cs="Arial" w:eastAsia="Arial" w:hAnsi="Arial"/>
                <w:sz w:val="13"/>
                <w:szCs w:val="13"/>
                <w:color w:val="auto"/>
              </w:rPr>
              <w:t>Shares Vested</w:t>
            </w:r>
          </w:p>
        </w:tc>
        <w:tc>
          <w:tcPr>
            <w:tcW w:w="2500" w:type="dxa"/>
            <w:vAlign w:val="bottom"/>
          </w:tcPr>
          <w:p>
            <w:pPr>
              <w:jc w:val="right"/>
              <w:ind w:right="136"/>
              <w:spacing w:after="0"/>
              <w:rPr>
                <w:sz w:val="20"/>
                <w:szCs w:val="20"/>
                <w:color w:val="auto"/>
              </w:rPr>
            </w:pPr>
            <w:r>
              <w:rPr>
                <w:rFonts w:ascii="Arial" w:cs="Arial" w:eastAsia="Arial" w:hAnsi="Arial"/>
                <w:sz w:val="13"/>
                <w:szCs w:val="13"/>
                <w:color w:val="auto"/>
              </w:rPr>
              <w:t>(144,747)</w:t>
            </w:r>
          </w:p>
        </w:tc>
        <w:tc>
          <w:tcPr>
            <w:tcW w:w="2120" w:type="dxa"/>
            <w:vAlign w:val="bottom"/>
          </w:tcPr>
          <w:p>
            <w:pPr>
              <w:jc w:val="right"/>
              <w:ind w:right="396"/>
              <w:spacing w:after="0"/>
              <w:rPr>
                <w:sz w:val="20"/>
                <w:szCs w:val="20"/>
                <w:color w:val="auto"/>
              </w:rPr>
            </w:pPr>
            <w:r>
              <w:rPr>
                <w:rFonts w:ascii="Arial" w:cs="Arial" w:eastAsia="Arial" w:hAnsi="Arial"/>
                <w:sz w:val="13"/>
                <w:szCs w:val="13"/>
                <w:color w:val="auto"/>
              </w:rPr>
              <w:t>$98.47</w:t>
            </w:r>
          </w:p>
        </w:tc>
        <w:tc>
          <w:tcPr>
            <w:tcW w:w="1700" w:type="dxa"/>
            <w:vAlign w:val="bottom"/>
          </w:tcPr>
          <w:p>
            <w:pPr>
              <w:jc w:val="right"/>
              <w:ind w:right="156"/>
              <w:spacing w:after="0"/>
              <w:rPr>
                <w:sz w:val="20"/>
                <w:szCs w:val="20"/>
                <w:color w:val="auto"/>
              </w:rPr>
            </w:pPr>
            <w:r>
              <w:rPr>
                <w:rFonts w:ascii="Arial" w:cs="Arial" w:eastAsia="Arial" w:hAnsi="Arial"/>
                <w:sz w:val="13"/>
                <w:szCs w:val="13"/>
                <w:color w:val="auto"/>
              </w:rPr>
              <w:t>(63,516)</w:t>
            </w:r>
          </w:p>
        </w:tc>
        <w:tc>
          <w:tcPr>
            <w:tcW w:w="1700" w:type="dxa"/>
            <w:vAlign w:val="bottom"/>
          </w:tcPr>
          <w:p>
            <w:pPr>
              <w:jc w:val="right"/>
              <w:spacing w:after="0"/>
              <w:rPr>
                <w:sz w:val="20"/>
                <w:szCs w:val="20"/>
                <w:color w:val="auto"/>
              </w:rPr>
            </w:pPr>
            <w:r>
              <w:rPr>
                <w:rFonts w:ascii="Arial" w:cs="Arial" w:eastAsia="Arial" w:hAnsi="Arial"/>
                <w:sz w:val="13"/>
                <w:szCs w:val="13"/>
                <w:color w:val="auto"/>
              </w:rPr>
              <w:t>$83.92</w:t>
            </w:r>
          </w:p>
        </w:tc>
      </w:tr>
      <w:tr>
        <w:trPr>
          <w:trHeight w:val="170"/>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2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(41,301)</w:t>
            </w:r>
          </w:p>
        </w:tc>
        <w:tc>
          <w:tcPr>
            <w:tcW w:w="21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$133.63</w:t>
            </w:r>
          </w:p>
        </w:tc>
        <w:tc>
          <w:tcPr>
            <w:tcW w:w="17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(10,016)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$134.27</w:t>
            </w:r>
          </w:p>
        </w:tc>
      </w:tr>
      <w:tr>
        <w:trPr>
          <w:trHeight w:val="184"/>
        </w:trPr>
        <w:tc>
          <w:tcPr>
            <w:tcW w:w="32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1"/>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at 31 December 2020</w:t>
            </w:r>
          </w:p>
        </w:tc>
        <w:tc>
          <w:tcPr>
            <w:tcW w:w="2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341,424</w:t>
            </w:r>
          </w:p>
        </w:tc>
        <w:tc>
          <w:tcPr>
            <w:tcW w:w="21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$145.77</w:t>
            </w:r>
          </w:p>
        </w:tc>
        <w:tc>
          <w:tcPr>
            <w:tcW w:w="17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159,641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$137.64</w:t>
            </w:r>
          </w:p>
        </w:tc>
      </w:tr>
    </w:tbl>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PSUs vest based on service and specified EPS targets over the period 2018 – 2010, 2019 - 2021 and 2020 - 2022. Further PSUs up to a total of 71,939 PSUs may also be awarded depending upon actual EPS outturn from 2018 to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696" w:right="31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expense</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for the year ended 31 December 2020 is stated after charging $26.6 million in respect of share-based payment expense. Share-based payment expense has been allocated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shd w:val="clear" w:color="auto" w:fill="CCEEFF"/>
          </w:tcPr>
          <w:p>
            <w:pPr>
              <w:spacing w:after="0"/>
              <w:rPr>
                <w:sz w:val="13"/>
                <w:szCs w:val="13"/>
                <w:color w:val="auto"/>
              </w:rPr>
            </w:pPr>
          </w:p>
        </w:tc>
        <w:tc>
          <w:tcPr>
            <w:tcW w:w="6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5160" w:type="dxa"/>
            <w:vAlign w:val="bottom"/>
            <w:tcBorders>
              <w:bottom w:val="single" w:sz="8" w:color="auto"/>
            </w:tcBorders>
            <w:shd w:val="clear" w:color="auto" w:fill="CCEEFF"/>
          </w:tcPr>
          <w:p>
            <w:pPr>
              <w:spacing w:after="0"/>
              <w:rPr>
                <w:sz w:val="14"/>
                <w:szCs w:val="14"/>
                <w:color w:val="auto"/>
              </w:rPr>
            </w:pPr>
          </w:p>
        </w:tc>
        <w:tc>
          <w:tcPr>
            <w:tcW w:w="51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December 2020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160" w:type="dxa"/>
            <w:vAlign w:val="bottom"/>
          </w:tcPr>
          <w:p>
            <w:pPr>
              <w:spacing w:after="0"/>
              <w:rPr>
                <w:sz w:val="13"/>
                <w:szCs w:val="13"/>
                <w:color w:val="auto"/>
              </w:rPr>
            </w:pPr>
          </w:p>
        </w:tc>
        <w:tc>
          <w:tcPr>
            <w:tcW w:w="514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16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3"/>
                <w:szCs w:val="13"/>
                <w:color w:val="auto"/>
              </w:rPr>
              <w:t>Direct costs</w:t>
            </w:r>
          </w:p>
        </w:tc>
        <w:tc>
          <w:tcPr>
            <w:tcW w:w="5140" w:type="dxa"/>
            <w:vAlign w:val="bottom"/>
          </w:tcPr>
          <w:p>
            <w:pPr>
              <w:jc w:val="right"/>
              <w:ind w:right="496"/>
              <w:spacing w:after="0"/>
              <w:rPr>
                <w:sz w:val="20"/>
                <w:szCs w:val="20"/>
                <w:color w:val="auto"/>
              </w:rPr>
            </w:pPr>
            <w:r>
              <w:rPr>
                <w:rFonts w:ascii="Arial" w:cs="Arial" w:eastAsia="Arial" w:hAnsi="Arial"/>
                <w:sz w:val="13"/>
                <w:szCs w:val="13"/>
                <w:b w:val="1"/>
                <w:bCs w:val="1"/>
                <w:color w:val="auto"/>
              </w:rPr>
              <w:t>9,043</w:t>
            </w:r>
          </w:p>
        </w:tc>
        <w:tc>
          <w:tcPr>
            <w:tcW w:w="980" w:type="dxa"/>
            <w:vAlign w:val="bottom"/>
          </w:tcPr>
          <w:p>
            <w:pPr>
              <w:jc w:val="right"/>
              <w:spacing w:after="0"/>
              <w:rPr>
                <w:sz w:val="20"/>
                <w:szCs w:val="20"/>
                <w:color w:val="auto"/>
              </w:rPr>
            </w:pPr>
            <w:r>
              <w:rPr>
                <w:rFonts w:ascii="Arial" w:cs="Arial" w:eastAsia="Arial" w:hAnsi="Arial"/>
                <w:sz w:val="13"/>
                <w:szCs w:val="13"/>
                <w:color w:val="auto"/>
              </w:rPr>
              <w:t>14,263</w:t>
            </w:r>
          </w:p>
        </w:tc>
      </w:tr>
      <w:tr>
        <w:trPr>
          <w:trHeight w:val="17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operating expenses</w:t>
            </w:r>
          </w:p>
        </w:tc>
        <w:tc>
          <w:tcPr>
            <w:tcW w:w="51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17,554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11,623</w:t>
            </w:r>
          </w:p>
        </w:tc>
      </w:tr>
      <w:tr>
        <w:trPr>
          <w:trHeight w:val="182"/>
        </w:trPr>
        <w:tc>
          <w:tcPr>
            <w:tcW w:w="51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1"/>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51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26,597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25,886</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80"/>
          </w:cols>
          <w:pgMar w:left="300" w:top="696" w:right="319" w:bottom="1440" w:gutter="0" w:footer="0" w:header="0"/>
        </w:sectPr>
      </w:pPr>
    </w:p>
    <w:bookmarkStart w:id="99" w:name="page100"/>
    <w:bookmarkEnd w:id="99"/>
    <w:p>
      <w:pPr>
        <w:ind w:left="80"/>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2"/>
          <w:szCs w:val="12"/>
          <w:b w:val="1"/>
          <w:bCs w:val="1"/>
          <w:color w:val="auto"/>
        </w:rPr>
        <w:t>Property, Plant and Equipment</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Leasehold</w:t>
            </w:r>
          </w:p>
        </w:tc>
        <w:tc>
          <w:tcPr>
            <w:tcW w:w="110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Computer</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Office</w:t>
            </w:r>
          </w:p>
        </w:tc>
        <w:tc>
          <w:tcPr>
            <w:tcW w:w="118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Laboratory</w:t>
            </w:r>
          </w:p>
        </w:tc>
        <w:tc>
          <w:tcPr>
            <w:tcW w:w="112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Motor</w:t>
            </w: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Land</w:t>
            </w:r>
          </w:p>
        </w:tc>
        <w:tc>
          <w:tcPr>
            <w:tcW w:w="9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Buildings</w:t>
            </w:r>
          </w:p>
        </w:tc>
        <w:tc>
          <w:tcPr>
            <w:tcW w:w="122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10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furniture &amp;</w:t>
            </w:r>
          </w:p>
        </w:tc>
        <w:tc>
          <w:tcPr>
            <w:tcW w:w="118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improvements</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equipment</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fixtures</w:t>
            </w:r>
          </w:p>
        </w:tc>
        <w:tc>
          <w:tcPr>
            <w:tcW w:w="11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vehicles</w:t>
            </w: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8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9"/>
        </w:trPr>
        <w:tc>
          <w:tcPr>
            <w:tcW w:w="2240" w:type="dxa"/>
            <w:vAlign w:val="bottom"/>
            <w:gridSpan w:val="2"/>
          </w:tcPr>
          <w:p>
            <w:pPr>
              <w:ind w:left="20"/>
              <w:spacing w:after="0"/>
              <w:rPr>
                <w:sz w:val="20"/>
                <w:szCs w:val="20"/>
                <w:color w:val="auto"/>
              </w:rPr>
            </w:pPr>
            <w:r>
              <w:rPr>
                <w:rFonts w:ascii="Arial" w:cs="Arial" w:eastAsia="Arial" w:hAnsi="Arial"/>
                <w:sz w:val="13"/>
                <w:szCs w:val="13"/>
                <w:b w:val="1"/>
                <w:bCs w:val="1"/>
                <w:color w:val="auto"/>
              </w:rPr>
              <w:t>st</w:t>
            </w: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gridSpan w:val="2"/>
          </w:tcPr>
          <w:p>
            <w:pPr>
              <w:spacing w:after="0"/>
              <w:rPr>
                <w:sz w:val="20"/>
                <w:szCs w:val="20"/>
                <w:color w:val="auto"/>
              </w:rPr>
            </w:pPr>
            <w:r>
              <w:rPr>
                <w:rFonts w:ascii="Arial" w:cs="Arial" w:eastAsia="Arial" w:hAnsi="Arial"/>
                <w:sz w:val="13"/>
                <w:szCs w:val="13"/>
                <w:color w:val="auto"/>
              </w:rPr>
              <w:t>1 January 2020</w:t>
            </w:r>
          </w:p>
        </w:tc>
        <w:tc>
          <w:tcPr>
            <w:tcW w:w="1380" w:type="dxa"/>
            <w:vAlign w:val="bottom"/>
          </w:tcPr>
          <w:p>
            <w:pPr>
              <w:jc w:val="right"/>
              <w:ind w:right="256"/>
              <w:spacing w:after="0"/>
              <w:rPr>
                <w:sz w:val="20"/>
                <w:szCs w:val="20"/>
                <w:color w:val="auto"/>
              </w:rPr>
            </w:pPr>
            <w:r>
              <w:rPr>
                <w:rFonts w:ascii="Arial" w:cs="Arial" w:eastAsia="Arial" w:hAnsi="Arial"/>
                <w:sz w:val="13"/>
                <w:szCs w:val="13"/>
                <w:color w:val="auto"/>
              </w:rPr>
              <w:t>4,574</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69,535</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35,853</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128,231</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77,391</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28,466</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96</w:t>
            </w:r>
          </w:p>
        </w:tc>
        <w:tc>
          <w:tcPr>
            <w:tcW w:w="800" w:type="dxa"/>
            <w:vAlign w:val="bottom"/>
          </w:tcPr>
          <w:p>
            <w:pPr>
              <w:jc w:val="right"/>
              <w:spacing w:after="0"/>
              <w:rPr>
                <w:sz w:val="20"/>
                <w:szCs w:val="20"/>
                <w:color w:val="auto"/>
              </w:rPr>
            </w:pPr>
            <w:r>
              <w:rPr>
                <w:rFonts w:ascii="Arial" w:cs="Arial" w:eastAsia="Arial" w:hAnsi="Arial"/>
                <w:sz w:val="13"/>
                <w:szCs w:val="13"/>
                <w:color w:val="auto"/>
              </w:rPr>
              <w:t>344,146</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ditions</w:t>
            </w:r>
          </w:p>
        </w:tc>
        <w:tc>
          <w:tcPr>
            <w:tcW w:w="13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175</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339</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11,195</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4,466</w:t>
            </w:r>
          </w:p>
        </w:tc>
        <w:tc>
          <w:tcPr>
            <w:tcW w:w="11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3,133</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19,308</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posals</w:t>
            </w:r>
          </w:p>
        </w:tc>
        <w:tc>
          <w:tcPr>
            <w:tcW w:w="13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(834)</w:t>
            </w:r>
          </w:p>
        </w:tc>
        <w:tc>
          <w:tcPr>
            <w:tcW w:w="1220" w:type="dxa"/>
            <w:vAlign w:val="bottom"/>
          </w:tcPr>
          <w:p>
            <w:pPr>
              <w:jc w:val="right"/>
              <w:ind w:right="176"/>
              <w:spacing w:after="0"/>
              <w:rPr>
                <w:sz w:val="20"/>
                <w:szCs w:val="20"/>
                <w:color w:val="auto"/>
              </w:rPr>
            </w:pPr>
            <w:r>
              <w:rPr>
                <w:rFonts w:ascii="Arial" w:cs="Arial" w:eastAsia="Arial" w:hAnsi="Arial"/>
                <w:sz w:val="13"/>
                <w:szCs w:val="13"/>
                <w:color w:val="auto"/>
              </w:rPr>
              <w:t>(933)</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(27,377)</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(2,080)</w:t>
            </w:r>
          </w:p>
        </w:tc>
        <w:tc>
          <w:tcPr>
            <w:tcW w:w="1180" w:type="dxa"/>
            <w:vAlign w:val="bottom"/>
          </w:tcPr>
          <w:p>
            <w:pPr>
              <w:jc w:val="right"/>
              <w:ind w:right="236"/>
              <w:spacing w:after="0"/>
              <w:rPr>
                <w:sz w:val="20"/>
                <w:szCs w:val="20"/>
                <w:color w:val="auto"/>
              </w:rPr>
            </w:pPr>
            <w:r>
              <w:rPr>
                <w:rFonts w:ascii="Arial" w:cs="Arial" w:eastAsia="Arial" w:hAnsi="Arial"/>
                <w:sz w:val="13"/>
                <w:szCs w:val="13"/>
                <w:color w:val="auto"/>
              </w:rPr>
              <w:t>(71)</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(46)</w:t>
            </w:r>
          </w:p>
        </w:tc>
        <w:tc>
          <w:tcPr>
            <w:tcW w:w="800" w:type="dxa"/>
            <w:vAlign w:val="bottom"/>
          </w:tcPr>
          <w:p>
            <w:pPr>
              <w:jc w:val="right"/>
              <w:spacing w:after="0"/>
              <w:rPr>
                <w:sz w:val="20"/>
                <w:szCs w:val="20"/>
                <w:color w:val="auto"/>
              </w:rPr>
            </w:pPr>
            <w:r>
              <w:rPr>
                <w:rFonts w:ascii="Arial" w:cs="Arial" w:eastAsia="Arial" w:hAnsi="Arial"/>
                <w:sz w:val="13"/>
                <w:szCs w:val="13"/>
                <w:color w:val="auto"/>
              </w:rPr>
              <w:t>(31,341)</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quisition</w:t>
            </w:r>
          </w:p>
        </w:tc>
        <w:tc>
          <w:tcPr>
            <w:tcW w:w="13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0</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12</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33</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8"/>
        </w:trPr>
        <w:tc>
          <w:tcPr>
            <w:tcW w:w="2240" w:type="dxa"/>
            <w:vAlign w:val="bottom"/>
            <w:gridSpan w:val="2"/>
          </w:tcPr>
          <w:p>
            <w:pPr>
              <w:spacing w:after="0"/>
              <w:rPr>
                <w:sz w:val="20"/>
                <w:szCs w:val="20"/>
                <w:color w:val="auto"/>
              </w:rPr>
            </w:pPr>
            <w:r>
              <w:rPr>
                <w:rFonts w:ascii="Arial" w:cs="Arial" w:eastAsia="Arial" w:hAnsi="Arial"/>
                <w:sz w:val="13"/>
                <w:szCs w:val="13"/>
                <w:color w:val="auto"/>
              </w:rPr>
              <w:t>reign exchange movement</w:t>
            </w:r>
          </w:p>
        </w:tc>
        <w:tc>
          <w:tcPr>
            <w:tcW w:w="13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5,104</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1,602</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1,947</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2,036</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525</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2</w:t>
            </w:r>
          </w:p>
        </w:tc>
        <w:tc>
          <w:tcPr>
            <w:tcW w:w="800" w:type="dxa"/>
            <w:vAlign w:val="bottom"/>
          </w:tcPr>
          <w:p>
            <w:pPr>
              <w:jc w:val="right"/>
              <w:spacing w:after="0"/>
              <w:rPr>
                <w:sz w:val="20"/>
                <w:szCs w:val="20"/>
                <w:color w:val="auto"/>
              </w:rPr>
            </w:pPr>
            <w:r>
              <w:rPr>
                <w:rFonts w:ascii="Arial" w:cs="Arial" w:eastAsia="Arial" w:hAnsi="Arial"/>
                <w:sz w:val="13"/>
                <w:szCs w:val="13"/>
                <w:color w:val="auto"/>
              </w:rPr>
              <w:t>11,216</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4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1380" w:type="dxa"/>
            <w:vAlign w:val="bottom"/>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940" w:type="dxa"/>
            <w:vAlign w:val="bottom"/>
          </w:tcPr>
          <w:p>
            <w:pPr>
              <w:jc w:val="right"/>
              <w:ind w:right="76"/>
              <w:spacing w:after="0"/>
              <w:rPr>
                <w:sz w:val="20"/>
                <w:szCs w:val="20"/>
                <w:color w:val="auto"/>
              </w:rPr>
            </w:pPr>
            <w:r>
              <w:rPr>
                <w:rFonts w:ascii="Arial" w:cs="Arial" w:eastAsia="Arial" w:hAnsi="Arial"/>
                <w:sz w:val="13"/>
                <w:szCs w:val="13"/>
                <w:b w:val="1"/>
                <w:bCs w:val="1"/>
                <w:color w:val="auto"/>
              </w:rPr>
              <w:t>73,980</w:t>
            </w:r>
          </w:p>
        </w:tc>
        <w:tc>
          <w:tcPr>
            <w:tcW w:w="1220" w:type="dxa"/>
            <w:vAlign w:val="bottom"/>
          </w:tcPr>
          <w:p>
            <w:pPr>
              <w:jc w:val="right"/>
              <w:ind w:right="196"/>
              <w:spacing w:after="0"/>
              <w:rPr>
                <w:sz w:val="20"/>
                <w:szCs w:val="20"/>
                <w:color w:val="auto"/>
              </w:rPr>
            </w:pPr>
            <w:r>
              <w:rPr>
                <w:rFonts w:ascii="Arial" w:cs="Arial" w:eastAsia="Arial" w:hAnsi="Arial"/>
                <w:sz w:val="13"/>
                <w:szCs w:val="13"/>
                <w:b w:val="1"/>
                <w:bCs w:val="1"/>
                <w:color w:val="auto"/>
              </w:rPr>
              <w:t>36,861</w:t>
            </w:r>
          </w:p>
        </w:tc>
        <w:tc>
          <w:tcPr>
            <w:tcW w:w="1100" w:type="dxa"/>
            <w:vAlign w:val="bottom"/>
          </w:tcPr>
          <w:p>
            <w:pPr>
              <w:jc w:val="right"/>
              <w:ind w:right="196"/>
              <w:spacing w:after="0"/>
              <w:rPr>
                <w:sz w:val="20"/>
                <w:szCs w:val="20"/>
                <w:color w:val="auto"/>
              </w:rPr>
            </w:pPr>
            <w:r>
              <w:rPr>
                <w:rFonts w:ascii="Arial" w:cs="Arial" w:eastAsia="Arial" w:hAnsi="Arial"/>
                <w:sz w:val="13"/>
                <w:szCs w:val="13"/>
                <w:b w:val="1"/>
                <w:bCs w:val="1"/>
                <w:color w:val="auto"/>
              </w:rPr>
              <w:t>114,008</w:t>
            </w:r>
          </w:p>
        </w:tc>
        <w:tc>
          <w:tcPr>
            <w:tcW w:w="1100" w:type="dxa"/>
            <w:vAlign w:val="bottom"/>
          </w:tcPr>
          <w:p>
            <w:pPr>
              <w:jc w:val="right"/>
              <w:ind w:right="196"/>
              <w:spacing w:after="0"/>
              <w:rPr>
                <w:sz w:val="20"/>
                <w:szCs w:val="20"/>
                <w:color w:val="auto"/>
              </w:rPr>
            </w:pPr>
            <w:r>
              <w:rPr>
                <w:rFonts w:ascii="Arial" w:cs="Arial" w:eastAsia="Arial" w:hAnsi="Arial"/>
                <w:sz w:val="13"/>
                <w:szCs w:val="13"/>
                <w:b w:val="1"/>
                <w:bCs w:val="1"/>
                <w:color w:val="auto"/>
              </w:rPr>
              <w:t>81,846</w:t>
            </w:r>
          </w:p>
        </w:tc>
        <w:tc>
          <w:tcPr>
            <w:tcW w:w="1180" w:type="dxa"/>
            <w:vAlign w:val="bottom"/>
          </w:tcPr>
          <w:p>
            <w:pPr>
              <w:jc w:val="right"/>
              <w:ind w:right="276"/>
              <w:spacing w:after="0"/>
              <w:rPr>
                <w:sz w:val="20"/>
                <w:szCs w:val="20"/>
                <w:color w:val="auto"/>
              </w:rPr>
            </w:pPr>
            <w:r>
              <w:rPr>
                <w:rFonts w:ascii="Arial" w:cs="Arial" w:eastAsia="Arial" w:hAnsi="Arial"/>
                <w:sz w:val="13"/>
                <w:szCs w:val="13"/>
                <w:b w:val="1"/>
                <w:bCs w:val="1"/>
                <w:color w:val="auto"/>
              </w:rPr>
              <w:t>32,053</w:t>
            </w:r>
          </w:p>
        </w:tc>
        <w:tc>
          <w:tcPr>
            <w:tcW w:w="1120" w:type="dxa"/>
            <w:vAlign w:val="bottom"/>
          </w:tcPr>
          <w:p>
            <w:pPr>
              <w:jc w:val="right"/>
              <w:ind w:right="296"/>
              <w:spacing w:after="0"/>
              <w:rPr>
                <w:sz w:val="20"/>
                <w:szCs w:val="20"/>
                <w:color w:val="auto"/>
              </w:rPr>
            </w:pPr>
            <w:r>
              <w:rPr>
                <w:rFonts w:ascii="Arial" w:cs="Arial" w:eastAsia="Arial" w:hAnsi="Arial"/>
                <w:sz w:val="13"/>
                <w:szCs w:val="13"/>
                <w:b w:val="1"/>
                <w:bCs w:val="1"/>
                <w:color w:val="auto"/>
              </w:rPr>
              <w:t>52</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343,374</w:t>
            </w:r>
          </w:p>
        </w:tc>
        <w:tc>
          <w:tcPr>
            <w:tcW w:w="0" w:type="dxa"/>
            <w:vAlign w:val="bottom"/>
          </w:tcPr>
          <w:p>
            <w:pPr>
              <w:spacing w:after="0"/>
              <w:rPr>
                <w:sz w:val="1"/>
                <w:szCs w:val="1"/>
                <w:color w:val="auto"/>
              </w:rPr>
            </w:pPr>
          </w:p>
        </w:tc>
      </w:tr>
      <w:tr>
        <w:trPr>
          <w:trHeight w:val="150"/>
        </w:trPr>
        <w:tc>
          <w:tcPr>
            <w:tcW w:w="80" w:type="dxa"/>
            <w:vAlign w:val="bottom"/>
            <w:vMerge w:val="restart"/>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3"/>
                <w:szCs w:val="13"/>
                <w:b w:val="1"/>
                <w:bCs w:val="1"/>
                <w:color w:val="auto"/>
              </w:rPr>
              <w:t>preciation</w:t>
            </w: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20"/>
                <w:szCs w:val="20"/>
                <w:color w:val="auto"/>
              </w:rPr>
            </w:pPr>
            <w:r>
              <w:rPr>
                <w:rFonts w:ascii="Arial" w:cs="Arial" w:eastAsia="Arial" w:hAnsi="Arial"/>
                <w:sz w:val="13"/>
                <w:szCs w:val="13"/>
                <w:color w:val="auto"/>
                <w:w w:val="82"/>
              </w:rPr>
              <w:t>1</w:t>
            </w: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January 2020</w:t>
            </w:r>
          </w:p>
        </w:tc>
        <w:tc>
          <w:tcPr>
            <w:tcW w:w="13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21,151</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28,158</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112,029</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58,224</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20,326</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239,889</w:t>
            </w:r>
          </w:p>
        </w:tc>
        <w:tc>
          <w:tcPr>
            <w:tcW w:w="0" w:type="dxa"/>
            <w:vAlign w:val="bottom"/>
          </w:tcPr>
          <w:p>
            <w:pPr>
              <w:spacing w:after="0"/>
              <w:rPr>
                <w:sz w:val="1"/>
                <w:szCs w:val="1"/>
                <w:color w:val="auto"/>
              </w:rPr>
            </w:pPr>
          </w:p>
        </w:tc>
      </w:tr>
      <w:tr>
        <w:trPr>
          <w:trHeight w:val="168"/>
        </w:trPr>
        <w:tc>
          <w:tcPr>
            <w:tcW w:w="2240" w:type="dxa"/>
            <w:vAlign w:val="bottom"/>
            <w:gridSpan w:val="2"/>
          </w:tcPr>
          <w:p>
            <w:pPr>
              <w:spacing w:after="0"/>
              <w:rPr>
                <w:sz w:val="20"/>
                <w:szCs w:val="20"/>
                <w:color w:val="auto"/>
              </w:rPr>
            </w:pPr>
            <w:r>
              <w:rPr>
                <w:rFonts w:ascii="Arial" w:cs="Arial" w:eastAsia="Arial" w:hAnsi="Arial"/>
                <w:sz w:val="13"/>
                <w:szCs w:val="13"/>
                <w:color w:val="auto"/>
              </w:rPr>
              <w:t>arge for year</w:t>
            </w:r>
          </w:p>
        </w:tc>
        <w:tc>
          <w:tcPr>
            <w:tcW w:w="13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2,058</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1,161</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8,529</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4,372</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2,220</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20</w:t>
            </w:r>
          </w:p>
        </w:tc>
        <w:tc>
          <w:tcPr>
            <w:tcW w:w="800" w:type="dxa"/>
            <w:vAlign w:val="bottom"/>
          </w:tcPr>
          <w:p>
            <w:pPr>
              <w:jc w:val="right"/>
              <w:spacing w:after="0"/>
              <w:rPr>
                <w:sz w:val="20"/>
                <w:szCs w:val="20"/>
                <w:color w:val="auto"/>
              </w:rPr>
            </w:pPr>
            <w:r>
              <w:rPr>
                <w:rFonts w:ascii="Arial" w:cs="Arial" w:eastAsia="Arial" w:hAnsi="Arial"/>
                <w:sz w:val="13"/>
                <w:szCs w:val="13"/>
                <w:color w:val="auto"/>
              </w:rPr>
              <w:t>18,360</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minated on disposal</w:t>
            </w:r>
          </w:p>
        </w:tc>
        <w:tc>
          <w:tcPr>
            <w:tcW w:w="13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(834)</w:t>
            </w: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(933)</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(27,363)</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(1,937)</w:t>
            </w:r>
          </w:p>
        </w:tc>
        <w:tc>
          <w:tcPr>
            <w:tcW w:w="11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(65)</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(31,150)</w:t>
            </w:r>
          </w:p>
        </w:tc>
        <w:tc>
          <w:tcPr>
            <w:tcW w:w="0" w:type="dxa"/>
            <w:vAlign w:val="bottom"/>
          </w:tcPr>
          <w:p>
            <w:pPr>
              <w:spacing w:after="0"/>
              <w:rPr>
                <w:sz w:val="1"/>
                <w:szCs w:val="1"/>
                <w:color w:val="auto"/>
              </w:rPr>
            </w:pPr>
          </w:p>
        </w:tc>
      </w:tr>
      <w:tr>
        <w:trPr>
          <w:trHeight w:val="168"/>
        </w:trPr>
        <w:tc>
          <w:tcPr>
            <w:tcW w:w="2240" w:type="dxa"/>
            <w:vAlign w:val="bottom"/>
            <w:gridSpan w:val="2"/>
          </w:tcPr>
          <w:p>
            <w:pPr>
              <w:spacing w:after="0"/>
              <w:rPr>
                <w:sz w:val="20"/>
                <w:szCs w:val="20"/>
                <w:color w:val="auto"/>
              </w:rPr>
            </w:pPr>
            <w:r>
              <w:rPr>
                <w:rFonts w:ascii="Arial" w:cs="Arial" w:eastAsia="Arial" w:hAnsi="Arial"/>
                <w:sz w:val="13"/>
                <w:szCs w:val="13"/>
                <w:color w:val="auto"/>
              </w:rPr>
              <w:t>reign exchange movement</w:t>
            </w:r>
          </w:p>
        </w:tc>
        <w:tc>
          <w:tcPr>
            <w:tcW w:w="13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2,082</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987</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1,380</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1,574</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420</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2</w:t>
            </w:r>
          </w:p>
        </w:tc>
        <w:tc>
          <w:tcPr>
            <w:tcW w:w="800" w:type="dxa"/>
            <w:vAlign w:val="bottom"/>
          </w:tcPr>
          <w:p>
            <w:pPr>
              <w:jc w:val="right"/>
              <w:spacing w:after="0"/>
              <w:rPr>
                <w:sz w:val="20"/>
                <w:szCs w:val="20"/>
                <w:color w:val="auto"/>
              </w:rPr>
            </w:pPr>
            <w:r>
              <w:rPr>
                <w:rFonts w:ascii="Arial" w:cs="Arial" w:eastAsia="Arial" w:hAnsi="Arial"/>
                <w:sz w:val="13"/>
                <w:szCs w:val="13"/>
                <w:color w:val="auto"/>
              </w:rPr>
              <w:t>6,445</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4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1380" w:type="dxa"/>
            <w:vAlign w:val="bottom"/>
          </w:tcPr>
          <w:p>
            <w:pPr>
              <w:jc w:val="right"/>
              <w:ind w:right="256"/>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b w:val="1"/>
                <w:bCs w:val="1"/>
                <w:color w:val="auto"/>
              </w:rPr>
              <w:t>24,457</w:t>
            </w:r>
          </w:p>
        </w:tc>
        <w:tc>
          <w:tcPr>
            <w:tcW w:w="1220" w:type="dxa"/>
            <w:vAlign w:val="bottom"/>
          </w:tcPr>
          <w:p>
            <w:pPr>
              <w:jc w:val="right"/>
              <w:ind w:right="196"/>
              <w:spacing w:after="0"/>
              <w:rPr>
                <w:sz w:val="20"/>
                <w:szCs w:val="20"/>
                <w:color w:val="auto"/>
              </w:rPr>
            </w:pPr>
            <w:r>
              <w:rPr>
                <w:rFonts w:ascii="Arial" w:cs="Arial" w:eastAsia="Arial" w:hAnsi="Arial"/>
                <w:sz w:val="13"/>
                <w:szCs w:val="13"/>
                <w:b w:val="1"/>
                <w:bCs w:val="1"/>
                <w:color w:val="auto"/>
              </w:rPr>
              <w:t>29,373</w:t>
            </w:r>
          </w:p>
        </w:tc>
        <w:tc>
          <w:tcPr>
            <w:tcW w:w="1100" w:type="dxa"/>
            <w:vAlign w:val="bottom"/>
          </w:tcPr>
          <w:p>
            <w:pPr>
              <w:jc w:val="right"/>
              <w:ind w:right="196"/>
              <w:spacing w:after="0"/>
              <w:rPr>
                <w:sz w:val="20"/>
                <w:szCs w:val="20"/>
                <w:color w:val="auto"/>
              </w:rPr>
            </w:pPr>
            <w:r>
              <w:rPr>
                <w:rFonts w:ascii="Arial" w:cs="Arial" w:eastAsia="Arial" w:hAnsi="Arial"/>
                <w:sz w:val="13"/>
                <w:szCs w:val="13"/>
                <w:b w:val="1"/>
                <w:bCs w:val="1"/>
                <w:color w:val="auto"/>
              </w:rPr>
              <w:t>94,575</w:t>
            </w:r>
          </w:p>
        </w:tc>
        <w:tc>
          <w:tcPr>
            <w:tcW w:w="1100" w:type="dxa"/>
            <w:vAlign w:val="bottom"/>
          </w:tcPr>
          <w:p>
            <w:pPr>
              <w:jc w:val="right"/>
              <w:ind w:right="196"/>
              <w:spacing w:after="0"/>
              <w:rPr>
                <w:sz w:val="20"/>
                <w:szCs w:val="20"/>
                <w:color w:val="auto"/>
              </w:rPr>
            </w:pPr>
            <w:r>
              <w:rPr>
                <w:rFonts w:ascii="Arial" w:cs="Arial" w:eastAsia="Arial" w:hAnsi="Arial"/>
                <w:sz w:val="13"/>
                <w:szCs w:val="13"/>
                <w:b w:val="1"/>
                <w:bCs w:val="1"/>
                <w:color w:val="auto"/>
              </w:rPr>
              <w:t>62,233</w:t>
            </w:r>
          </w:p>
        </w:tc>
        <w:tc>
          <w:tcPr>
            <w:tcW w:w="1180" w:type="dxa"/>
            <w:vAlign w:val="bottom"/>
          </w:tcPr>
          <w:p>
            <w:pPr>
              <w:jc w:val="right"/>
              <w:ind w:right="276"/>
              <w:spacing w:after="0"/>
              <w:rPr>
                <w:sz w:val="20"/>
                <w:szCs w:val="20"/>
                <w:color w:val="auto"/>
              </w:rPr>
            </w:pPr>
            <w:r>
              <w:rPr>
                <w:rFonts w:ascii="Arial" w:cs="Arial" w:eastAsia="Arial" w:hAnsi="Arial"/>
                <w:sz w:val="13"/>
                <w:szCs w:val="13"/>
                <w:b w:val="1"/>
                <w:bCs w:val="1"/>
                <w:color w:val="auto"/>
              </w:rPr>
              <w:t>22,901</w:t>
            </w:r>
          </w:p>
        </w:tc>
        <w:tc>
          <w:tcPr>
            <w:tcW w:w="1120" w:type="dxa"/>
            <w:vAlign w:val="bottom"/>
          </w:tcPr>
          <w:p>
            <w:pPr>
              <w:jc w:val="right"/>
              <w:ind w:right="296"/>
              <w:spacing w:after="0"/>
              <w:rPr>
                <w:sz w:val="20"/>
                <w:szCs w:val="20"/>
                <w:color w:val="auto"/>
              </w:rPr>
            </w:pPr>
            <w:r>
              <w:rPr>
                <w:rFonts w:ascii="Arial" w:cs="Arial" w:eastAsia="Arial" w:hAnsi="Arial"/>
                <w:sz w:val="13"/>
                <w:szCs w:val="13"/>
                <w:b w:val="1"/>
                <w:bCs w:val="1"/>
                <w:color w:val="auto"/>
              </w:rPr>
              <w:t>5</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233,544</w:t>
            </w:r>
          </w:p>
        </w:tc>
        <w:tc>
          <w:tcPr>
            <w:tcW w:w="0" w:type="dxa"/>
            <w:vAlign w:val="bottom"/>
          </w:tcPr>
          <w:p>
            <w:pPr>
              <w:spacing w:after="0"/>
              <w:rPr>
                <w:sz w:val="1"/>
                <w:szCs w:val="1"/>
                <w:color w:val="auto"/>
              </w:rPr>
            </w:pPr>
          </w:p>
        </w:tc>
      </w:tr>
      <w:tr>
        <w:trPr>
          <w:trHeight w:val="150"/>
        </w:trPr>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rPr>
              <w:t>t</w:t>
            </w:r>
          </w:p>
        </w:tc>
        <w:tc>
          <w:tcPr>
            <w:tcW w:w="21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3"/>
                <w:szCs w:val="13"/>
                <w:b w:val="1"/>
                <w:bCs w:val="1"/>
                <w:color w:val="auto"/>
              </w:rPr>
              <w:t>book value</w:t>
            </w: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1380" w:type="dxa"/>
            <w:vAlign w:val="bottom"/>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940" w:type="dxa"/>
            <w:vAlign w:val="bottom"/>
          </w:tcPr>
          <w:p>
            <w:pPr>
              <w:jc w:val="right"/>
              <w:ind w:right="76"/>
              <w:spacing w:after="0"/>
              <w:rPr>
                <w:sz w:val="20"/>
                <w:szCs w:val="20"/>
                <w:color w:val="auto"/>
              </w:rPr>
            </w:pPr>
            <w:r>
              <w:rPr>
                <w:rFonts w:ascii="Arial" w:cs="Arial" w:eastAsia="Arial" w:hAnsi="Arial"/>
                <w:sz w:val="13"/>
                <w:szCs w:val="13"/>
                <w:b w:val="1"/>
                <w:bCs w:val="1"/>
                <w:color w:val="auto"/>
              </w:rPr>
              <w:t>49,523</w:t>
            </w:r>
          </w:p>
        </w:tc>
        <w:tc>
          <w:tcPr>
            <w:tcW w:w="1220" w:type="dxa"/>
            <w:vAlign w:val="bottom"/>
          </w:tcPr>
          <w:p>
            <w:pPr>
              <w:jc w:val="right"/>
              <w:ind w:right="196"/>
              <w:spacing w:after="0"/>
              <w:rPr>
                <w:sz w:val="20"/>
                <w:szCs w:val="20"/>
                <w:color w:val="auto"/>
              </w:rPr>
            </w:pPr>
            <w:r>
              <w:rPr>
                <w:rFonts w:ascii="Arial" w:cs="Arial" w:eastAsia="Arial" w:hAnsi="Arial"/>
                <w:sz w:val="13"/>
                <w:szCs w:val="13"/>
                <w:b w:val="1"/>
                <w:bCs w:val="1"/>
                <w:color w:val="auto"/>
              </w:rPr>
              <w:t>7,488</w:t>
            </w:r>
          </w:p>
        </w:tc>
        <w:tc>
          <w:tcPr>
            <w:tcW w:w="1100" w:type="dxa"/>
            <w:vAlign w:val="bottom"/>
          </w:tcPr>
          <w:p>
            <w:pPr>
              <w:jc w:val="right"/>
              <w:ind w:right="196"/>
              <w:spacing w:after="0"/>
              <w:rPr>
                <w:sz w:val="20"/>
                <w:szCs w:val="20"/>
                <w:color w:val="auto"/>
              </w:rPr>
            </w:pPr>
            <w:r>
              <w:rPr>
                <w:rFonts w:ascii="Arial" w:cs="Arial" w:eastAsia="Arial" w:hAnsi="Arial"/>
                <w:sz w:val="13"/>
                <w:szCs w:val="13"/>
                <w:b w:val="1"/>
                <w:bCs w:val="1"/>
                <w:color w:val="auto"/>
              </w:rPr>
              <w:t>19,433</w:t>
            </w:r>
          </w:p>
        </w:tc>
        <w:tc>
          <w:tcPr>
            <w:tcW w:w="1100" w:type="dxa"/>
            <w:vAlign w:val="bottom"/>
          </w:tcPr>
          <w:p>
            <w:pPr>
              <w:jc w:val="right"/>
              <w:ind w:right="196"/>
              <w:spacing w:after="0"/>
              <w:rPr>
                <w:sz w:val="20"/>
                <w:szCs w:val="20"/>
                <w:color w:val="auto"/>
              </w:rPr>
            </w:pPr>
            <w:r>
              <w:rPr>
                <w:rFonts w:ascii="Arial" w:cs="Arial" w:eastAsia="Arial" w:hAnsi="Arial"/>
                <w:sz w:val="13"/>
                <w:szCs w:val="13"/>
                <w:b w:val="1"/>
                <w:bCs w:val="1"/>
                <w:color w:val="auto"/>
              </w:rPr>
              <w:t>19,613</w:t>
            </w:r>
          </w:p>
        </w:tc>
        <w:tc>
          <w:tcPr>
            <w:tcW w:w="1180" w:type="dxa"/>
            <w:vAlign w:val="bottom"/>
          </w:tcPr>
          <w:p>
            <w:pPr>
              <w:jc w:val="right"/>
              <w:ind w:right="276"/>
              <w:spacing w:after="0"/>
              <w:rPr>
                <w:sz w:val="20"/>
                <w:szCs w:val="20"/>
                <w:color w:val="auto"/>
              </w:rPr>
            </w:pPr>
            <w:r>
              <w:rPr>
                <w:rFonts w:ascii="Arial" w:cs="Arial" w:eastAsia="Arial" w:hAnsi="Arial"/>
                <w:sz w:val="13"/>
                <w:szCs w:val="13"/>
                <w:b w:val="1"/>
                <w:bCs w:val="1"/>
                <w:color w:val="auto"/>
              </w:rPr>
              <w:t>9,152</w:t>
            </w:r>
          </w:p>
        </w:tc>
        <w:tc>
          <w:tcPr>
            <w:tcW w:w="1120" w:type="dxa"/>
            <w:vAlign w:val="bottom"/>
          </w:tcPr>
          <w:p>
            <w:pPr>
              <w:jc w:val="right"/>
              <w:ind w:right="296"/>
              <w:spacing w:after="0"/>
              <w:rPr>
                <w:sz w:val="20"/>
                <w:szCs w:val="20"/>
                <w:color w:val="auto"/>
              </w:rPr>
            </w:pPr>
            <w:r>
              <w:rPr>
                <w:rFonts w:ascii="Arial" w:cs="Arial" w:eastAsia="Arial" w:hAnsi="Arial"/>
                <w:sz w:val="13"/>
                <w:szCs w:val="13"/>
                <w:b w:val="1"/>
                <w:bCs w:val="1"/>
                <w:color w:val="auto"/>
              </w:rPr>
              <w:t>47</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109,830</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240" w:type="dxa"/>
            <w:vAlign w:val="bottom"/>
            <w:gridSpan w:val="2"/>
          </w:tcPr>
          <w:p>
            <w:pPr>
              <w:spacing w:after="0"/>
              <w:rPr>
                <w:sz w:val="20"/>
                <w:szCs w:val="20"/>
                <w:color w:val="auto"/>
              </w:rPr>
            </w:pPr>
            <w:r>
              <w:rPr>
                <w:rFonts w:ascii="Arial" w:cs="Arial" w:eastAsia="Arial" w:hAnsi="Arial"/>
                <w:sz w:val="13"/>
                <w:szCs w:val="13"/>
                <w:color w:val="auto"/>
              </w:rPr>
              <w:t>31 December 2019</w:t>
            </w:r>
          </w:p>
        </w:tc>
        <w:tc>
          <w:tcPr>
            <w:tcW w:w="1380" w:type="dxa"/>
            <w:vAlign w:val="bottom"/>
          </w:tcPr>
          <w:p>
            <w:pPr>
              <w:jc w:val="right"/>
              <w:ind w:right="256"/>
              <w:spacing w:after="0"/>
              <w:rPr>
                <w:sz w:val="20"/>
                <w:szCs w:val="20"/>
                <w:color w:val="auto"/>
              </w:rPr>
            </w:pPr>
            <w:r>
              <w:rPr>
                <w:rFonts w:ascii="Arial" w:cs="Arial" w:eastAsia="Arial" w:hAnsi="Arial"/>
                <w:sz w:val="13"/>
                <w:szCs w:val="13"/>
                <w:color w:val="auto"/>
              </w:rPr>
              <w:t>4,574</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48,384</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7,695</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16,202</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19,167</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8,140</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95</w:t>
            </w:r>
          </w:p>
        </w:tc>
        <w:tc>
          <w:tcPr>
            <w:tcW w:w="800" w:type="dxa"/>
            <w:vAlign w:val="bottom"/>
          </w:tcPr>
          <w:p>
            <w:pPr>
              <w:jc w:val="right"/>
              <w:spacing w:after="0"/>
              <w:rPr>
                <w:sz w:val="20"/>
                <w:szCs w:val="20"/>
                <w:color w:val="auto"/>
              </w:rPr>
            </w:pPr>
            <w:r>
              <w:rPr>
                <w:rFonts w:ascii="Arial" w:cs="Arial" w:eastAsia="Arial" w:hAnsi="Arial"/>
                <w:sz w:val="13"/>
                <w:szCs w:val="13"/>
                <w:color w:val="auto"/>
              </w:rPr>
              <w:t>104,257</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-2283460</wp:posOffset>
            </wp:positionV>
            <wp:extent cx="6986270" cy="107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627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-342900</wp:posOffset>
            </wp:positionV>
            <wp:extent cx="698627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6270" cy="11430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-120650</wp:posOffset>
            </wp:positionV>
            <wp:extent cx="698627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6270" cy="11430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3"/>
          <w:szCs w:val="13"/>
          <w:color w:val="auto"/>
        </w:rPr>
        <w:t>Depreciation expense of $18.4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080"/>
          </w:cols>
          <w:pgMar w:left="220" w:top="696" w:right="5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Property, Plant and Equipment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Leasehold</w:t>
            </w:r>
          </w:p>
        </w:tc>
        <w:tc>
          <w:tcPr>
            <w:tcW w:w="112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Computer</w:t>
            </w: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Office</w:t>
            </w:r>
          </w:p>
        </w:tc>
        <w:tc>
          <w:tcPr>
            <w:tcW w:w="122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Laboratory</w:t>
            </w:r>
          </w:p>
        </w:tc>
        <w:tc>
          <w:tcPr>
            <w:tcW w:w="112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Motor</w:t>
            </w: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Land</w:t>
            </w:r>
          </w:p>
        </w:tc>
        <w:tc>
          <w:tcPr>
            <w:tcW w:w="98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Buildings</w:t>
            </w:r>
          </w:p>
        </w:tc>
        <w:tc>
          <w:tcPr>
            <w:tcW w:w="124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1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furniture &amp;</w:t>
            </w:r>
          </w:p>
        </w:tc>
        <w:tc>
          <w:tcPr>
            <w:tcW w:w="122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3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improvements</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fixtures</w:t>
            </w:r>
          </w:p>
        </w:tc>
        <w:tc>
          <w:tcPr>
            <w:tcW w:w="12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vehicles</w:t>
            </w: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20" w:type="dxa"/>
            <w:vAlign w:val="bottom"/>
          </w:tcPr>
          <w:p>
            <w:pPr>
              <w:spacing w:after="0"/>
              <w:rPr>
                <w:sz w:val="13"/>
                <w:szCs w:val="13"/>
                <w:color w:val="auto"/>
              </w:rPr>
            </w:pPr>
          </w:p>
        </w:tc>
        <w:tc>
          <w:tcPr>
            <w:tcW w:w="130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At 1 January 2019</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4,574</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70,111</w:t>
            </w:r>
          </w:p>
        </w:tc>
        <w:tc>
          <w:tcPr>
            <w:tcW w:w="1240" w:type="dxa"/>
            <w:vAlign w:val="bottom"/>
          </w:tcPr>
          <w:p>
            <w:pPr>
              <w:jc w:val="right"/>
              <w:ind w:right="216"/>
              <w:spacing w:after="0"/>
              <w:rPr>
                <w:sz w:val="20"/>
                <w:szCs w:val="20"/>
                <w:color w:val="auto"/>
              </w:rPr>
            </w:pPr>
            <w:r>
              <w:rPr>
                <w:rFonts w:ascii="Arial" w:cs="Arial" w:eastAsia="Arial" w:hAnsi="Arial"/>
                <w:sz w:val="13"/>
                <w:szCs w:val="13"/>
                <w:color w:val="auto"/>
              </w:rPr>
              <w:t>33,475</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122,150</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72,649</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24,917</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8</w:t>
            </w:r>
          </w:p>
        </w:tc>
        <w:tc>
          <w:tcPr>
            <w:tcW w:w="840" w:type="dxa"/>
            <w:vAlign w:val="bottom"/>
          </w:tcPr>
          <w:p>
            <w:pPr>
              <w:jc w:val="right"/>
              <w:spacing w:after="0"/>
              <w:rPr>
                <w:sz w:val="20"/>
                <w:szCs w:val="20"/>
                <w:color w:val="auto"/>
              </w:rPr>
            </w:pPr>
            <w:r>
              <w:rPr>
                <w:rFonts w:ascii="Arial" w:cs="Arial" w:eastAsia="Arial" w:hAnsi="Arial"/>
                <w:sz w:val="13"/>
                <w:szCs w:val="13"/>
                <w:color w:val="auto"/>
              </w:rPr>
              <w:t>327,884</w:t>
            </w:r>
          </w:p>
        </w:tc>
        <w:tc>
          <w:tcPr>
            <w:tcW w:w="0" w:type="dxa"/>
            <w:vAlign w:val="bottom"/>
          </w:tcPr>
          <w:p>
            <w:pPr>
              <w:spacing w:after="0"/>
              <w:rPr>
                <w:sz w:val="1"/>
                <w:szCs w:val="1"/>
                <w:color w:val="auto"/>
              </w:rPr>
            </w:pPr>
          </w:p>
        </w:tc>
      </w:tr>
      <w:tr>
        <w:trPr>
          <w:trHeight w:val="172"/>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61</w:t>
            </w:r>
          </w:p>
        </w:tc>
        <w:tc>
          <w:tcPr>
            <w:tcW w:w="12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2,878</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7,321</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6,537</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2,461</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72</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19,330</w:t>
            </w: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6"/>
              <w:spacing w:after="0"/>
              <w:rPr>
                <w:sz w:val="20"/>
                <w:szCs w:val="20"/>
                <w:color w:val="auto"/>
              </w:rPr>
            </w:pPr>
            <w:r>
              <w:rPr>
                <w:rFonts w:ascii="Arial" w:cs="Arial" w:eastAsia="Arial" w:hAnsi="Arial"/>
                <w:sz w:val="13"/>
                <w:szCs w:val="13"/>
                <w:color w:val="auto"/>
              </w:rPr>
              <w:t>(499)</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(687)</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(2,030)</w:t>
            </w:r>
          </w:p>
        </w:tc>
        <w:tc>
          <w:tcPr>
            <w:tcW w:w="1220" w:type="dxa"/>
            <w:vAlign w:val="bottom"/>
          </w:tcPr>
          <w:p>
            <w:pPr>
              <w:jc w:val="right"/>
              <w:ind w:right="256"/>
              <w:spacing w:after="0"/>
              <w:rPr>
                <w:sz w:val="20"/>
                <w:szCs w:val="20"/>
                <w:color w:val="auto"/>
              </w:rPr>
            </w:pPr>
            <w:r>
              <w:rPr>
                <w:rFonts w:ascii="Arial" w:cs="Arial" w:eastAsia="Arial" w:hAnsi="Arial"/>
                <w:sz w:val="13"/>
                <w:szCs w:val="13"/>
                <w:color w:val="auto"/>
              </w:rPr>
              <w:t>(125)</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(18)</w:t>
            </w:r>
          </w:p>
        </w:tc>
        <w:tc>
          <w:tcPr>
            <w:tcW w:w="840" w:type="dxa"/>
            <w:vAlign w:val="bottom"/>
          </w:tcPr>
          <w:p>
            <w:pPr>
              <w:jc w:val="right"/>
              <w:spacing w:after="0"/>
              <w:rPr>
                <w:sz w:val="20"/>
                <w:szCs w:val="20"/>
                <w:color w:val="auto"/>
              </w:rPr>
            </w:pPr>
            <w:r>
              <w:rPr>
                <w:rFonts w:ascii="Arial" w:cs="Arial" w:eastAsia="Arial" w:hAnsi="Arial"/>
                <w:sz w:val="13"/>
                <w:szCs w:val="13"/>
                <w:color w:val="auto"/>
              </w:rPr>
              <w:t>(3,359)</w:t>
            </w:r>
          </w:p>
        </w:tc>
        <w:tc>
          <w:tcPr>
            <w:tcW w:w="0" w:type="dxa"/>
            <w:vAlign w:val="bottom"/>
          </w:tcPr>
          <w:p>
            <w:pPr>
              <w:spacing w:after="0"/>
              <w:rPr>
                <w:sz w:val="1"/>
                <w:szCs w:val="1"/>
                <w:color w:val="auto"/>
              </w:rPr>
            </w:pPr>
          </w:p>
        </w:tc>
      </w:tr>
      <w:tr>
        <w:trPr>
          <w:trHeight w:val="172"/>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Arising on acquisition</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301</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98</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781</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1,330</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33</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2,553</w:t>
            </w:r>
          </w:p>
        </w:tc>
        <w:tc>
          <w:tcPr>
            <w:tcW w:w="0" w:type="dxa"/>
            <w:vAlign w:val="bottom"/>
          </w:tcPr>
          <w:p>
            <w:pPr>
              <w:spacing w:after="0"/>
              <w:rPr>
                <w:sz w:val="1"/>
                <w:szCs w:val="1"/>
                <w:color w:val="auto"/>
              </w:rPr>
            </w:pPr>
          </w:p>
        </w:tc>
      </w:tr>
      <w:tr>
        <w:trPr>
          <w:trHeight w:val="16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(647)</w:t>
            </w: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(302)</w:t>
            </w: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(651)</w:t>
            </w: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(546)</w:t>
            </w: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(117)</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(2,262)</w:t>
            </w:r>
          </w:p>
        </w:tc>
        <w:tc>
          <w:tcPr>
            <w:tcW w:w="0" w:type="dxa"/>
            <w:vAlign w:val="bottom"/>
          </w:tcPr>
          <w:p>
            <w:pPr>
              <w:spacing w:after="0"/>
              <w:rPr>
                <w:sz w:val="1"/>
                <w:szCs w:val="1"/>
                <w:color w:val="auto"/>
              </w:rPr>
            </w:pPr>
          </w:p>
        </w:tc>
      </w:tr>
      <w:tr>
        <w:trPr>
          <w:trHeight w:val="152"/>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69,535</w:t>
            </w: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35,853</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128,231</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77,391</w:t>
            </w: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28,466</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96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344,146</w:t>
            </w:r>
          </w:p>
        </w:tc>
        <w:tc>
          <w:tcPr>
            <w:tcW w:w="0" w:type="dxa"/>
            <w:vAlign w:val="bottom"/>
          </w:tcPr>
          <w:p>
            <w:pPr>
              <w:spacing w:after="0"/>
              <w:rPr>
                <w:sz w:val="1"/>
                <w:szCs w:val="1"/>
                <w:color w:val="auto"/>
              </w:rPr>
            </w:pPr>
          </w:p>
        </w:tc>
      </w:tr>
      <w:tr>
        <w:trPr>
          <w:trHeight w:val="150"/>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2019</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19,312</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27,731</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103,931</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55,216</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17,984</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224,174</w:t>
            </w: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Charge for year</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2,129</w:t>
            </w:r>
          </w:p>
        </w:tc>
        <w:tc>
          <w:tcPr>
            <w:tcW w:w="1240" w:type="dxa"/>
            <w:vAlign w:val="bottom"/>
          </w:tcPr>
          <w:p>
            <w:pPr>
              <w:jc w:val="right"/>
              <w:ind w:right="216"/>
              <w:spacing w:after="0"/>
              <w:rPr>
                <w:sz w:val="20"/>
                <w:szCs w:val="20"/>
                <w:color w:val="auto"/>
              </w:rPr>
            </w:pPr>
            <w:r>
              <w:rPr>
                <w:rFonts w:ascii="Arial" w:cs="Arial" w:eastAsia="Arial" w:hAnsi="Arial"/>
                <w:sz w:val="13"/>
                <w:szCs w:val="13"/>
                <w:color w:val="auto"/>
              </w:rPr>
              <w:t>1,199</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8,988</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4,770</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2,490</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21</w:t>
            </w:r>
          </w:p>
        </w:tc>
        <w:tc>
          <w:tcPr>
            <w:tcW w:w="840" w:type="dxa"/>
            <w:vAlign w:val="bottom"/>
          </w:tcPr>
          <w:p>
            <w:pPr>
              <w:jc w:val="right"/>
              <w:spacing w:after="0"/>
              <w:rPr>
                <w:sz w:val="20"/>
                <w:szCs w:val="20"/>
                <w:color w:val="auto"/>
              </w:rPr>
            </w:pPr>
            <w:r>
              <w:rPr>
                <w:rFonts w:ascii="Arial" w:cs="Arial" w:eastAsia="Arial" w:hAnsi="Arial"/>
                <w:sz w:val="13"/>
                <w:szCs w:val="13"/>
                <w:color w:val="auto"/>
              </w:rPr>
              <w:t>19,597</w:t>
            </w:r>
          </w:p>
        </w:tc>
        <w:tc>
          <w:tcPr>
            <w:tcW w:w="0" w:type="dxa"/>
            <w:vAlign w:val="bottom"/>
          </w:tcPr>
          <w:p>
            <w:pPr>
              <w:spacing w:after="0"/>
              <w:rPr>
                <w:sz w:val="1"/>
                <w:szCs w:val="1"/>
                <w:color w:val="auto"/>
              </w:rPr>
            </w:pPr>
          </w:p>
        </w:tc>
      </w:tr>
      <w:tr>
        <w:trPr>
          <w:trHeight w:val="172"/>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Eliminated on disposal</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(499)</w:t>
            </w: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(662)</w:t>
            </w: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(1,521)</w:t>
            </w:r>
          </w:p>
        </w:tc>
        <w:tc>
          <w:tcPr>
            <w:tcW w:w="12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(125)</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(18)</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(2,825)</w:t>
            </w:r>
          </w:p>
        </w:tc>
        <w:tc>
          <w:tcPr>
            <w:tcW w:w="0" w:type="dxa"/>
            <w:vAlign w:val="bottom"/>
          </w:tcPr>
          <w:p>
            <w:pPr>
              <w:spacing w:after="0"/>
              <w:rPr>
                <w:sz w:val="1"/>
                <w:szCs w:val="1"/>
                <w:color w:val="auto"/>
              </w:rPr>
            </w:pPr>
          </w:p>
        </w:tc>
      </w:tr>
      <w:tr>
        <w:trPr>
          <w:trHeight w:val="16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(290)</w:t>
            </w: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(273)</w:t>
            </w: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(228)</w:t>
            </w: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(241)</w:t>
            </w: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(23)</w:t>
            </w: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(1,057)</w:t>
            </w:r>
          </w:p>
        </w:tc>
        <w:tc>
          <w:tcPr>
            <w:tcW w:w="0" w:type="dxa"/>
            <w:vAlign w:val="bottom"/>
          </w:tcPr>
          <w:p>
            <w:pPr>
              <w:spacing w:after="0"/>
              <w:rPr>
                <w:sz w:val="1"/>
                <w:szCs w:val="1"/>
                <w:color w:val="auto"/>
              </w:rPr>
            </w:pPr>
          </w:p>
        </w:tc>
      </w:tr>
      <w:tr>
        <w:trPr>
          <w:trHeight w:val="152"/>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21,151</w:t>
            </w: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28,158</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112,029</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58,224</w:t>
            </w: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20,326</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239,889</w:t>
            </w:r>
          </w:p>
        </w:tc>
        <w:tc>
          <w:tcPr>
            <w:tcW w:w="0" w:type="dxa"/>
            <w:vAlign w:val="bottom"/>
          </w:tcPr>
          <w:p>
            <w:pPr>
              <w:spacing w:after="0"/>
              <w:rPr>
                <w:sz w:val="1"/>
                <w:szCs w:val="1"/>
                <w:color w:val="auto"/>
              </w:rPr>
            </w:pPr>
          </w:p>
        </w:tc>
      </w:tr>
      <w:tr>
        <w:trPr>
          <w:trHeight w:val="150"/>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48,384</w:t>
            </w:r>
          </w:p>
        </w:tc>
        <w:tc>
          <w:tcPr>
            <w:tcW w:w="12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7,695</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16,202</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19,167</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8,140</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95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104,257</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2018</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4,574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50,799</w:t>
            </w:r>
          </w:p>
        </w:tc>
        <w:tc>
          <w:tcPr>
            <w:tcW w:w="12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5,744</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18,219</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17,433</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6,933</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103,710</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of $19.6 million has been charged to “other operating expenses” in the Consolidated Statement of Profit and Loss.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60"/>
          </w:cols>
          <w:pgMar w:left="300" w:top="696" w:right="339" w:bottom="1440" w:gutter="0" w:footer="0" w:header="0"/>
        </w:sectPr>
      </w:pPr>
    </w:p>
    <w:bookmarkStart w:id="101" w:name="page102"/>
    <w:bookmarkEnd w:id="101"/>
    <w:p>
      <w:pPr>
        <w:ind w:left="80"/>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400" w:hanging="315"/>
        <w:spacing w:after="0"/>
        <w:tabs>
          <w:tab w:leader="none" w:pos="40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 – goodwill and other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 w:type="dxa"/>
            <w:vAlign w:val="bottom"/>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Trade</w:t>
            </w:r>
          </w:p>
        </w:tc>
        <w:tc>
          <w:tcPr>
            <w:tcW w:w="9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Customer</w:t>
            </w: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Technology Name and Non-</w:t>
            </w:r>
          </w:p>
        </w:tc>
        <w:tc>
          <w:tcPr>
            <w:tcW w:w="9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Computer Software</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Relationships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Volunteer List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Order Backlog</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Asset</w:t>
            </w:r>
          </w:p>
        </w:tc>
        <w:tc>
          <w:tcPr>
            <w:tcW w:w="2020" w:type="dxa"/>
            <w:vAlign w:val="bottom"/>
            <w:tcBorders>
              <w:bottom w:val="single" w:sz="8" w:color="auto"/>
            </w:tcBorders>
            <w:gridSpan w:val="2"/>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CompetesPatient Database</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Goodwill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3"/>
                <w:szCs w:val="13"/>
                <w:b w:val="1"/>
                <w:bCs w:val="1"/>
                <w:color w:val="auto"/>
              </w:rPr>
              <w:t>st</w:t>
            </w:r>
          </w:p>
        </w:tc>
        <w:tc>
          <w:tcPr>
            <w:tcW w:w="1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00" w:type="dxa"/>
            <w:vAlign w:val="bottom"/>
            <w:gridSpan w:val="2"/>
          </w:tcPr>
          <w:p>
            <w:pPr>
              <w:spacing w:after="0"/>
              <w:rPr>
                <w:sz w:val="20"/>
                <w:szCs w:val="20"/>
                <w:color w:val="auto"/>
              </w:rPr>
            </w:pPr>
            <w:r>
              <w:rPr>
                <w:rFonts w:ascii="Arial" w:cs="Arial" w:eastAsia="Arial" w:hAnsi="Arial"/>
                <w:sz w:val="13"/>
                <w:szCs w:val="13"/>
                <w:color w:val="auto"/>
              </w:rPr>
              <w:t>1 January 2020</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275,631</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134,293</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35,436</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8,782</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2,963</w:t>
            </w: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2,613</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897,179</w:t>
            </w:r>
          </w:p>
        </w:tc>
        <w:tc>
          <w:tcPr>
            <w:tcW w:w="800" w:type="dxa"/>
            <w:vAlign w:val="bottom"/>
          </w:tcPr>
          <w:p>
            <w:pPr>
              <w:jc w:val="right"/>
              <w:spacing w:after="0"/>
              <w:rPr>
                <w:sz w:val="20"/>
                <w:szCs w:val="20"/>
                <w:color w:val="auto"/>
              </w:rPr>
            </w:pPr>
            <w:r>
              <w:rPr>
                <w:rFonts w:ascii="Arial" w:cs="Arial" w:eastAsia="Arial" w:hAnsi="Arial"/>
                <w:sz w:val="13"/>
                <w:szCs w:val="13"/>
                <w:color w:val="auto"/>
              </w:rPr>
              <w:t>1,358,222</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ditions</w:t>
            </w:r>
          </w:p>
        </w:tc>
        <w:tc>
          <w:tcPr>
            <w:tcW w:w="14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31,747</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31,747</w:t>
            </w:r>
          </w:p>
        </w:tc>
        <w:tc>
          <w:tcPr>
            <w:tcW w:w="0" w:type="dxa"/>
            <w:vAlign w:val="bottom"/>
          </w:tcPr>
          <w:p>
            <w:pPr>
              <w:spacing w:after="0"/>
              <w:rPr>
                <w:sz w:val="1"/>
                <w:szCs w:val="1"/>
                <w:color w:val="auto"/>
              </w:rPr>
            </w:pPr>
          </w:p>
        </w:tc>
      </w:tr>
      <w:tr>
        <w:trPr>
          <w:trHeight w:val="165"/>
        </w:trPr>
        <w:tc>
          <w:tcPr>
            <w:tcW w:w="1700" w:type="dxa"/>
            <w:vAlign w:val="bottom"/>
            <w:gridSpan w:val="2"/>
          </w:tcPr>
          <w:p>
            <w:pPr>
              <w:ind w:left="20"/>
              <w:spacing w:after="0"/>
              <w:rPr>
                <w:sz w:val="20"/>
                <w:szCs w:val="20"/>
                <w:color w:val="auto"/>
              </w:rPr>
            </w:pPr>
            <w:r>
              <w:rPr>
                <w:rFonts w:ascii="Arial" w:cs="Arial" w:eastAsia="Arial" w:hAnsi="Arial"/>
                <w:sz w:val="13"/>
                <w:szCs w:val="13"/>
                <w:color w:val="auto"/>
              </w:rPr>
              <w:t>posal</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(11,349)</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(11,349)</w:t>
            </w:r>
          </w:p>
        </w:tc>
        <w:tc>
          <w:tcPr>
            <w:tcW w:w="0" w:type="dxa"/>
            <w:vAlign w:val="bottom"/>
          </w:tcPr>
          <w:p>
            <w:pPr>
              <w:spacing w:after="0"/>
              <w:rPr>
                <w:sz w:val="1"/>
                <w:szCs w:val="1"/>
                <w:color w:val="auto"/>
              </w:rPr>
            </w:pPr>
          </w:p>
        </w:tc>
      </w:tr>
      <w:tr>
        <w:trPr>
          <w:trHeight w:val="170"/>
        </w:trPr>
        <w:tc>
          <w:tcPr>
            <w:tcW w:w="1700" w:type="dxa"/>
            <w:vAlign w:val="bottom"/>
            <w:gridSpan w:val="2"/>
          </w:tcPr>
          <w:p>
            <w:pPr>
              <w:spacing w:after="0"/>
              <w:rPr>
                <w:sz w:val="20"/>
                <w:szCs w:val="20"/>
                <w:color w:val="auto"/>
              </w:rPr>
            </w:pPr>
            <w:r>
              <w:rPr>
                <w:rFonts w:ascii="Arial" w:cs="Arial" w:eastAsia="Arial" w:hAnsi="Arial"/>
                <w:sz w:val="13"/>
                <w:szCs w:val="13"/>
                <w:color w:val="auto"/>
              </w:rPr>
              <w:t>or period acquisition</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6"/>
              <w:spacing w:after="0"/>
              <w:rPr>
                <w:sz w:val="20"/>
                <w:szCs w:val="20"/>
                <w:color w:val="auto"/>
              </w:rPr>
            </w:pPr>
            <w:r>
              <w:rPr>
                <w:rFonts w:ascii="Arial" w:cs="Arial" w:eastAsia="Arial" w:hAnsi="Arial"/>
                <w:sz w:val="13"/>
                <w:szCs w:val="13"/>
                <w:color w:val="auto"/>
              </w:rPr>
              <w:t>133</w:t>
            </w:r>
          </w:p>
        </w:tc>
        <w:tc>
          <w:tcPr>
            <w:tcW w:w="80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70"/>
        </w:trPr>
        <w:tc>
          <w:tcPr>
            <w:tcW w:w="1700" w:type="dxa"/>
            <w:vAlign w:val="bottom"/>
            <w:gridSpan w:val="2"/>
          </w:tcPr>
          <w:p>
            <w:pPr>
              <w:spacing w:after="0"/>
              <w:rPr>
                <w:sz w:val="20"/>
                <w:szCs w:val="20"/>
                <w:color w:val="auto"/>
              </w:rPr>
            </w:pPr>
            <w:r>
              <w:rPr>
                <w:rFonts w:ascii="Arial" w:cs="Arial" w:eastAsia="Arial" w:hAnsi="Arial"/>
                <w:sz w:val="13"/>
                <w:szCs w:val="13"/>
                <w:color w:val="auto"/>
              </w:rPr>
              <w:t>quisitions</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11,909</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2,906</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27,191</w:t>
            </w:r>
          </w:p>
        </w:tc>
        <w:tc>
          <w:tcPr>
            <w:tcW w:w="800" w:type="dxa"/>
            <w:vAlign w:val="bottom"/>
          </w:tcPr>
          <w:p>
            <w:pPr>
              <w:jc w:val="right"/>
              <w:spacing w:after="0"/>
              <w:rPr>
                <w:sz w:val="20"/>
                <w:szCs w:val="20"/>
                <w:color w:val="auto"/>
              </w:rPr>
            </w:pPr>
            <w:r>
              <w:rPr>
                <w:rFonts w:ascii="Arial" w:cs="Arial" w:eastAsia="Arial" w:hAnsi="Arial"/>
                <w:sz w:val="13"/>
                <w:szCs w:val="13"/>
                <w:color w:val="auto"/>
              </w:rPr>
              <w:t>42,006</w:t>
            </w:r>
          </w:p>
        </w:tc>
        <w:tc>
          <w:tcPr>
            <w:tcW w:w="0" w:type="dxa"/>
            <w:vAlign w:val="bottom"/>
          </w:tcPr>
          <w:p>
            <w:pPr>
              <w:spacing w:after="0"/>
              <w:rPr>
                <w:sz w:val="1"/>
                <w:szCs w:val="1"/>
                <w:color w:val="auto"/>
              </w:rPr>
            </w:pPr>
          </w:p>
        </w:tc>
      </w:tr>
      <w:tr>
        <w:trPr>
          <w:trHeight w:val="172"/>
        </w:trPr>
        <w:tc>
          <w:tcPr>
            <w:tcW w:w="1700" w:type="dxa"/>
            <w:vAlign w:val="bottom"/>
            <w:gridSpan w:val="2"/>
          </w:tcPr>
          <w:p>
            <w:pPr>
              <w:spacing w:after="0"/>
              <w:rPr>
                <w:sz w:val="20"/>
                <w:szCs w:val="20"/>
                <w:color w:val="auto"/>
              </w:rPr>
            </w:pPr>
            <w:r>
              <w:rPr>
                <w:rFonts w:ascii="Arial" w:cs="Arial" w:eastAsia="Arial" w:hAnsi="Arial"/>
                <w:sz w:val="13"/>
                <w:szCs w:val="13"/>
                <w:color w:val="auto"/>
              </w:rPr>
              <w:t>reign exchange movement</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733</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3,439</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1,526</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789</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102</w:t>
            </w: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81</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25,764</w:t>
            </w:r>
          </w:p>
        </w:tc>
        <w:tc>
          <w:tcPr>
            <w:tcW w:w="800" w:type="dxa"/>
            <w:vAlign w:val="bottom"/>
          </w:tcPr>
          <w:p>
            <w:pPr>
              <w:jc w:val="right"/>
              <w:spacing w:after="0"/>
              <w:rPr>
                <w:sz w:val="20"/>
                <w:szCs w:val="20"/>
                <w:color w:val="auto"/>
              </w:rPr>
            </w:pPr>
            <w:r>
              <w:rPr>
                <w:rFonts w:ascii="Arial" w:cs="Arial" w:eastAsia="Arial" w:hAnsi="Arial"/>
                <w:sz w:val="13"/>
                <w:szCs w:val="13"/>
                <w:color w:val="auto"/>
              </w:rPr>
              <w:t>32,434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70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1480" w:type="dxa"/>
            <w:vAlign w:val="bottom"/>
          </w:tcPr>
          <w:p>
            <w:pPr>
              <w:jc w:val="right"/>
              <w:ind w:right="96"/>
              <w:spacing w:after="0"/>
              <w:rPr>
                <w:sz w:val="20"/>
                <w:szCs w:val="20"/>
                <w:color w:val="auto"/>
              </w:rPr>
            </w:pPr>
            <w:r>
              <w:rPr>
                <w:rFonts w:ascii="Arial" w:cs="Arial" w:eastAsia="Arial" w:hAnsi="Arial"/>
                <w:sz w:val="13"/>
                <w:szCs w:val="13"/>
                <w:b w:val="1"/>
                <w:bCs w:val="1"/>
                <w:color w:val="auto"/>
              </w:rPr>
              <w:t>296,762</w:t>
            </w:r>
          </w:p>
        </w:tc>
        <w:tc>
          <w:tcPr>
            <w:tcW w:w="1020" w:type="dxa"/>
            <w:vAlign w:val="bottom"/>
          </w:tcPr>
          <w:p>
            <w:pPr>
              <w:jc w:val="right"/>
              <w:ind w:right="56"/>
              <w:spacing w:after="0"/>
              <w:rPr>
                <w:sz w:val="20"/>
                <w:szCs w:val="20"/>
                <w:color w:val="auto"/>
              </w:rPr>
            </w:pPr>
            <w:r>
              <w:rPr>
                <w:rFonts w:ascii="Arial" w:cs="Arial" w:eastAsia="Arial" w:hAnsi="Arial"/>
                <w:sz w:val="13"/>
                <w:szCs w:val="13"/>
                <w:b w:val="1"/>
                <w:bCs w:val="1"/>
                <w:color w:val="auto"/>
              </w:rPr>
              <w:t>149,641</w:t>
            </w:r>
          </w:p>
        </w:tc>
        <w:tc>
          <w:tcPr>
            <w:tcW w:w="980" w:type="dxa"/>
            <w:vAlign w:val="bottom"/>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b w:val="1"/>
                <w:bCs w:val="1"/>
                <w:color w:val="auto"/>
              </w:rPr>
              <w:t>39,868</w:t>
            </w:r>
          </w:p>
        </w:tc>
        <w:tc>
          <w:tcPr>
            <w:tcW w:w="1040" w:type="dxa"/>
            <w:vAlign w:val="bottom"/>
          </w:tcPr>
          <w:p>
            <w:pPr>
              <w:jc w:val="right"/>
              <w:ind w:right="176"/>
              <w:spacing w:after="0"/>
              <w:rPr>
                <w:sz w:val="20"/>
                <w:szCs w:val="20"/>
                <w:color w:val="auto"/>
              </w:rPr>
            </w:pPr>
            <w:r>
              <w:rPr>
                <w:rFonts w:ascii="Arial" w:cs="Arial" w:eastAsia="Arial" w:hAnsi="Arial"/>
                <w:sz w:val="13"/>
                <w:szCs w:val="13"/>
                <w:b w:val="1"/>
                <w:bCs w:val="1"/>
                <w:color w:val="auto"/>
              </w:rPr>
              <w:t>9,571</w:t>
            </w:r>
          </w:p>
        </w:tc>
        <w:tc>
          <w:tcPr>
            <w:tcW w:w="1120" w:type="dxa"/>
            <w:vAlign w:val="bottom"/>
          </w:tcPr>
          <w:p>
            <w:pPr>
              <w:jc w:val="right"/>
              <w:ind w:right="296"/>
              <w:spacing w:after="0"/>
              <w:rPr>
                <w:sz w:val="20"/>
                <w:szCs w:val="20"/>
                <w:color w:val="auto"/>
              </w:rPr>
            </w:pPr>
            <w:r>
              <w:rPr>
                <w:rFonts w:ascii="Arial" w:cs="Arial" w:eastAsia="Arial" w:hAnsi="Arial"/>
                <w:sz w:val="13"/>
                <w:szCs w:val="13"/>
                <w:b w:val="1"/>
                <w:bCs w:val="1"/>
                <w:color w:val="auto"/>
              </w:rPr>
              <w:t>3,065</w:t>
            </w:r>
          </w:p>
        </w:tc>
        <w:tc>
          <w:tcPr>
            <w:tcW w:w="900" w:type="dxa"/>
            <w:vAlign w:val="bottom"/>
          </w:tcPr>
          <w:p>
            <w:pPr>
              <w:jc w:val="right"/>
              <w:ind w:right="196"/>
              <w:spacing w:after="0"/>
              <w:rPr>
                <w:sz w:val="20"/>
                <w:szCs w:val="20"/>
                <w:color w:val="auto"/>
              </w:rPr>
            </w:pPr>
            <w:r>
              <w:rPr>
                <w:rFonts w:ascii="Arial" w:cs="Arial" w:eastAsia="Arial" w:hAnsi="Arial"/>
                <w:sz w:val="13"/>
                <w:szCs w:val="13"/>
                <w:b w:val="1"/>
                <w:bCs w:val="1"/>
                <w:color w:val="auto"/>
              </w:rPr>
              <w:t>2,694</w:t>
            </w:r>
          </w:p>
        </w:tc>
        <w:tc>
          <w:tcPr>
            <w:tcW w:w="980" w:type="dxa"/>
            <w:vAlign w:val="bottom"/>
          </w:tcPr>
          <w:p>
            <w:pPr>
              <w:jc w:val="right"/>
              <w:ind w:right="176"/>
              <w:spacing w:after="0"/>
              <w:rPr>
                <w:sz w:val="20"/>
                <w:szCs w:val="20"/>
                <w:color w:val="auto"/>
              </w:rPr>
            </w:pPr>
            <w:r>
              <w:rPr>
                <w:rFonts w:ascii="Arial" w:cs="Arial" w:eastAsia="Arial" w:hAnsi="Arial"/>
                <w:sz w:val="13"/>
                <w:szCs w:val="13"/>
                <w:b w:val="1"/>
                <w:bCs w:val="1"/>
                <w:color w:val="auto"/>
              </w:rPr>
              <w:t>950,267</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1,453,193</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ortisation</w:t>
            </w:r>
          </w:p>
        </w:tc>
        <w:tc>
          <w:tcPr>
            <w:tcW w:w="1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700" w:type="dxa"/>
            <w:vAlign w:val="bottom"/>
            <w:gridSpan w:val="2"/>
          </w:tcPr>
          <w:p>
            <w:pPr>
              <w:spacing w:after="0"/>
              <w:rPr>
                <w:sz w:val="20"/>
                <w:szCs w:val="20"/>
                <w:color w:val="auto"/>
              </w:rPr>
            </w:pPr>
            <w:r>
              <w:rPr>
                <w:rFonts w:ascii="Arial" w:cs="Arial" w:eastAsia="Arial" w:hAnsi="Arial"/>
                <w:sz w:val="13"/>
                <w:szCs w:val="13"/>
                <w:color w:val="auto"/>
              </w:rPr>
              <w:t>1 January 2020</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214,801</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80,454</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23,771</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8,782</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2,955</w:t>
            </w: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231</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332,319</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ortised in the year</w:t>
            </w:r>
          </w:p>
        </w:tc>
        <w:tc>
          <w:tcPr>
            <w:tcW w:w="14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28,532</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13,885</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4,985</w:t>
            </w:r>
          </w:p>
        </w:tc>
        <w:tc>
          <w:tcPr>
            <w:tcW w:w="10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8</w:t>
            </w:r>
          </w:p>
        </w:tc>
        <w:tc>
          <w:tcPr>
            <w:tcW w:w="9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356</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47,766</w:t>
            </w:r>
          </w:p>
        </w:tc>
        <w:tc>
          <w:tcPr>
            <w:tcW w:w="0" w:type="dxa"/>
            <w:vAlign w:val="bottom"/>
          </w:tcPr>
          <w:p>
            <w:pPr>
              <w:spacing w:after="0"/>
              <w:rPr>
                <w:sz w:val="1"/>
                <w:szCs w:val="1"/>
                <w:color w:val="auto"/>
              </w:rPr>
            </w:pPr>
          </w:p>
        </w:tc>
      </w:tr>
      <w:tr>
        <w:trPr>
          <w:trHeight w:val="165"/>
        </w:trPr>
        <w:tc>
          <w:tcPr>
            <w:tcW w:w="1700" w:type="dxa"/>
            <w:vAlign w:val="bottom"/>
            <w:gridSpan w:val="2"/>
          </w:tcPr>
          <w:p>
            <w:pPr>
              <w:ind w:left="20"/>
              <w:spacing w:after="0"/>
              <w:rPr>
                <w:sz w:val="20"/>
                <w:szCs w:val="20"/>
                <w:color w:val="auto"/>
              </w:rPr>
            </w:pPr>
            <w:r>
              <w:rPr>
                <w:rFonts w:ascii="Arial" w:cs="Arial" w:eastAsia="Arial" w:hAnsi="Arial"/>
                <w:sz w:val="13"/>
                <w:szCs w:val="13"/>
                <w:color w:val="auto"/>
              </w:rPr>
              <w:t>posal</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(11,272)</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(11,272)</w:t>
            </w:r>
          </w:p>
        </w:tc>
        <w:tc>
          <w:tcPr>
            <w:tcW w:w="0" w:type="dxa"/>
            <w:vAlign w:val="bottom"/>
          </w:tcPr>
          <w:p>
            <w:pPr>
              <w:spacing w:after="0"/>
              <w:rPr>
                <w:sz w:val="1"/>
                <w:szCs w:val="1"/>
                <w:color w:val="auto"/>
              </w:rPr>
            </w:pPr>
          </w:p>
        </w:tc>
      </w:tr>
      <w:tr>
        <w:trPr>
          <w:trHeight w:val="172"/>
        </w:trPr>
        <w:tc>
          <w:tcPr>
            <w:tcW w:w="1700" w:type="dxa"/>
            <w:vAlign w:val="bottom"/>
            <w:gridSpan w:val="2"/>
          </w:tcPr>
          <w:p>
            <w:pPr>
              <w:spacing w:after="0"/>
              <w:rPr>
                <w:sz w:val="20"/>
                <w:szCs w:val="20"/>
                <w:color w:val="auto"/>
              </w:rPr>
            </w:pPr>
            <w:r>
              <w:rPr>
                <w:rFonts w:ascii="Arial" w:cs="Arial" w:eastAsia="Arial" w:hAnsi="Arial"/>
                <w:sz w:val="13"/>
                <w:szCs w:val="13"/>
                <w:color w:val="auto"/>
              </w:rPr>
              <w:t>reign exchange movement</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188</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1,436</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603</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789</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102</w:t>
            </w: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23</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3,141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70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1480" w:type="dxa"/>
            <w:vAlign w:val="bottom"/>
          </w:tcPr>
          <w:p>
            <w:pPr>
              <w:jc w:val="right"/>
              <w:ind w:right="96"/>
              <w:spacing w:after="0"/>
              <w:rPr>
                <w:sz w:val="20"/>
                <w:szCs w:val="20"/>
                <w:color w:val="auto"/>
              </w:rPr>
            </w:pPr>
            <w:r>
              <w:rPr>
                <w:rFonts w:ascii="Arial" w:cs="Arial" w:eastAsia="Arial" w:hAnsi="Arial"/>
                <w:sz w:val="13"/>
                <w:szCs w:val="13"/>
                <w:b w:val="1"/>
                <w:bCs w:val="1"/>
                <w:color w:val="auto"/>
              </w:rPr>
              <w:t>232,249</w:t>
            </w:r>
          </w:p>
        </w:tc>
        <w:tc>
          <w:tcPr>
            <w:tcW w:w="1020" w:type="dxa"/>
            <w:vAlign w:val="bottom"/>
          </w:tcPr>
          <w:p>
            <w:pPr>
              <w:jc w:val="right"/>
              <w:ind w:right="56"/>
              <w:spacing w:after="0"/>
              <w:rPr>
                <w:sz w:val="20"/>
                <w:szCs w:val="20"/>
                <w:color w:val="auto"/>
              </w:rPr>
            </w:pPr>
            <w:r>
              <w:rPr>
                <w:rFonts w:ascii="Arial" w:cs="Arial" w:eastAsia="Arial" w:hAnsi="Arial"/>
                <w:sz w:val="13"/>
                <w:szCs w:val="13"/>
                <w:b w:val="1"/>
                <w:bCs w:val="1"/>
                <w:color w:val="auto"/>
              </w:rPr>
              <w:t>95,775</w:t>
            </w:r>
          </w:p>
        </w:tc>
        <w:tc>
          <w:tcPr>
            <w:tcW w:w="980" w:type="dxa"/>
            <w:vAlign w:val="bottom"/>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b w:val="1"/>
                <w:bCs w:val="1"/>
                <w:color w:val="auto"/>
              </w:rPr>
              <w:t>29,359</w:t>
            </w:r>
          </w:p>
        </w:tc>
        <w:tc>
          <w:tcPr>
            <w:tcW w:w="1040" w:type="dxa"/>
            <w:vAlign w:val="bottom"/>
          </w:tcPr>
          <w:p>
            <w:pPr>
              <w:jc w:val="right"/>
              <w:ind w:right="176"/>
              <w:spacing w:after="0"/>
              <w:rPr>
                <w:sz w:val="20"/>
                <w:szCs w:val="20"/>
                <w:color w:val="auto"/>
              </w:rPr>
            </w:pPr>
            <w:r>
              <w:rPr>
                <w:rFonts w:ascii="Arial" w:cs="Arial" w:eastAsia="Arial" w:hAnsi="Arial"/>
                <w:sz w:val="13"/>
                <w:szCs w:val="13"/>
                <w:b w:val="1"/>
                <w:bCs w:val="1"/>
                <w:color w:val="auto"/>
              </w:rPr>
              <w:t>9,571</w:t>
            </w:r>
          </w:p>
        </w:tc>
        <w:tc>
          <w:tcPr>
            <w:tcW w:w="1120" w:type="dxa"/>
            <w:vAlign w:val="bottom"/>
          </w:tcPr>
          <w:p>
            <w:pPr>
              <w:jc w:val="right"/>
              <w:ind w:right="296"/>
              <w:spacing w:after="0"/>
              <w:rPr>
                <w:sz w:val="20"/>
                <w:szCs w:val="20"/>
                <w:color w:val="auto"/>
              </w:rPr>
            </w:pPr>
            <w:r>
              <w:rPr>
                <w:rFonts w:ascii="Arial" w:cs="Arial" w:eastAsia="Arial" w:hAnsi="Arial"/>
                <w:sz w:val="13"/>
                <w:szCs w:val="13"/>
                <w:b w:val="1"/>
                <w:bCs w:val="1"/>
                <w:color w:val="auto"/>
              </w:rPr>
              <w:t>3,065</w:t>
            </w:r>
          </w:p>
        </w:tc>
        <w:tc>
          <w:tcPr>
            <w:tcW w:w="900" w:type="dxa"/>
            <w:vAlign w:val="bottom"/>
          </w:tcPr>
          <w:p>
            <w:pPr>
              <w:jc w:val="right"/>
              <w:ind w:right="196"/>
              <w:spacing w:after="0"/>
              <w:rPr>
                <w:sz w:val="20"/>
                <w:szCs w:val="20"/>
                <w:color w:val="auto"/>
              </w:rPr>
            </w:pPr>
            <w:r>
              <w:rPr>
                <w:rFonts w:ascii="Arial" w:cs="Arial" w:eastAsia="Arial" w:hAnsi="Arial"/>
                <w:sz w:val="13"/>
                <w:szCs w:val="13"/>
                <w:b w:val="1"/>
                <w:bCs w:val="1"/>
                <w:color w:val="auto"/>
              </w:rPr>
              <w:t>610</w:t>
            </w:r>
          </w:p>
        </w:tc>
        <w:tc>
          <w:tcPr>
            <w:tcW w:w="980" w:type="dxa"/>
            <w:vAlign w:val="bottom"/>
          </w:tcPr>
          <w:p>
            <w:pPr>
              <w:jc w:val="right"/>
              <w:ind w:right="176"/>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371,954</w:t>
            </w:r>
          </w:p>
        </w:tc>
        <w:tc>
          <w:tcPr>
            <w:tcW w:w="0" w:type="dxa"/>
            <w:vAlign w:val="bottom"/>
          </w:tcPr>
          <w:p>
            <w:pPr>
              <w:spacing w:after="0"/>
              <w:rPr>
                <w:sz w:val="1"/>
                <w:szCs w:val="1"/>
                <w:color w:val="auto"/>
              </w:rPr>
            </w:pPr>
          </w:p>
        </w:tc>
      </w:tr>
      <w:tr>
        <w:trPr>
          <w:trHeight w:val="194"/>
        </w:trPr>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rPr>
              <w:t>t</w:t>
            </w:r>
          </w:p>
        </w:tc>
        <w:tc>
          <w:tcPr>
            <w:tcW w:w="16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0" w:type="dxa"/>
            <w:vAlign w:val="bottom"/>
            <w:vMerge w:val="continue"/>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book value</w:t>
            </w:r>
          </w:p>
        </w:tc>
        <w:tc>
          <w:tcPr>
            <w:tcW w:w="1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1480" w:type="dxa"/>
            <w:vAlign w:val="bottom"/>
          </w:tcPr>
          <w:p>
            <w:pPr>
              <w:jc w:val="right"/>
              <w:ind w:right="96"/>
              <w:spacing w:after="0"/>
              <w:rPr>
                <w:sz w:val="20"/>
                <w:szCs w:val="20"/>
                <w:color w:val="auto"/>
              </w:rPr>
            </w:pPr>
            <w:r>
              <w:rPr>
                <w:rFonts w:ascii="Arial" w:cs="Arial" w:eastAsia="Arial" w:hAnsi="Arial"/>
                <w:sz w:val="13"/>
                <w:szCs w:val="13"/>
                <w:b w:val="1"/>
                <w:bCs w:val="1"/>
                <w:color w:val="auto"/>
              </w:rPr>
              <w:t>64,513</w:t>
            </w:r>
          </w:p>
        </w:tc>
        <w:tc>
          <w:tcPr>
            <w:tcW w:w="1020" w:type="dxa"/>
            <w:vAlign w:val="bottom"/>
          </w:tcPr>
          <w:p>
            <w:pPr>
              <w:jc w:val="right"/>
              <w:ind w:right="56"/>
              <w:spacing w:after="0"/>
              <w:rPr>
                <w:sz w:val="20"/>
                <w:szCs w:val="20"/>
                <w:color w:val="auto"/>
              </w:rPr>
            </w:pPr>
            <w:r>
              <w:rPr>
                <w:rFonts w:ascii="Arial" w:cs="Arial" w:eastAsia="Arial" w:hAnsi="Arial"/>
                <w:sz w:val="13"/>
                <w:szCs w:val="13"/>
                <w:b w:val="1"/>
                <w:bCs w:val="1"/>
                <w:color w:val="auto"/>
              </w:rPr>
              <w:t>53,866</w:t>
            </w:r>
          </w:p>
        </w:tc>
        <w:tc>
          <w:tcPr>
            <w:tcW w:w="98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b w:val="1"/>
                <w:bCs w:val="1"/>
                <w:color w:val="auto"/>
              </w:rPr>
              <w:t>10,509</w:t>
            </w:r>
          </w:p>
        </w:tc>
        <w:tc>
          <w:tcPr>
            <w:tcW w:w="1040" w:type="dxa"/>
            <w:vAlign w:val="bottom"/>
          </w:tcPr>
          <w:p>
            <w:pPr>
              <w:jc w:val="right"/>
              <w:ind w:right="176"/>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296"/>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196"/>
              <w:spacing w:after="0"/>
              <w:rPr>
                <w:sz w:val="20"/>
                <w:szCs w:val="20"/>
                <w:color w:val="auto"/>
              </w:rPr>
            </w:pPr>
            <w:r>
              <w:rPr>
                <w:rFonts w:ascii="Arial" w:cs="Arial" w:eastAsia="Arial" w:hAnsi="Arial"/>
                <w:sz w:val="13"/>
                <w:szCs w:val="13"/>
                <w:b w:val="1"/>
                <w:bCs w:val="1"/>
                <w:color w:val="auto"/>
              </w:rPr>
              <w:t>2,084</w:t>
            </w:r>
          </w:p>
        </w:tc>
        <w:tc>
          <w:tcPr>
            <w:tcW w:w="980" w:type="dxa"/>
            <w:vAlign w:val="bottom"/>
          </w:tcPr>
          <w:p>
            <w:pPr>
              <w:jc w:val="right"/>
              <w:ind w:right="176"/>
              <w:spacing w:after="0"/>
              <w:rPr>
                <w:sz w:val="20"/>
                <w:szCs w:val="20"/>
                <w:color w:val="auto"/>
              </w:rPr>
            </w:pPr>
            <w:r>
              <w:rPr>
                <w:rFonts w:ascii="Arial" w:cs="Arial" w:eastAsia="Arial" w:hAnsi="Arial"/>
                <w:sz w:val="13"/>
                <w:szCs w:val="13"/>
                <w:b w:val="1"/>
                <w:bCs w:val="1"/>
                <w:color w:val="auto"/>
              </w:rPr>
              <w:t>950,267</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1,081,239</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700" w:type="dxa"/>
            <w:vAlign w:val="bottom"/>
            <w:gridSpan w:val="2"/>
          </w:tcPr>
          <w:p>
            <w:pPr>
              <w:spacing w:after="0"/>
              <w:rPr>
                <w:sz w:val="20"/>
                <w:szCs w:val="20"/>
                <w:color w:val="auto"/>
              </w:rPr>
            </w:pPr>
            <w:r>
              <w:rPr>
                <w:rFonts w:ascii="Arial" w:cs="Arial" w:eastAsia="Arial" w:hAnsi="Arial"/>
                <w:sz w:val="13"/>
                <w:szCs w:val="13"/>
                <w:color w:val="auto"/>
              </w:rPr>
              <w:t>31 December 2019</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60,830</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53,839</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11,665</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8</w:t>
            </w: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2,382</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897,179</w:t>
            </w:r>
          </w:p>
        </w:tc>
        <w:tc>
          <w:tcPr>
            <w:tcW w:w="800" w:type="dxa"/>
            <w:vAlign w:val="bottom"/>
          </w:tcPr>
          <w:p>
            <w:pPr>
              <w:jc w:val="right"/>
              <w:spacing w:after="0"/>
              <w:rPr>
                <w:sz w:val="20"/>
                <w:szCs w:val="20"/>
                <w:color w:val="auto"/>
              </w:rPr>
            </w:pPr>
            <w:r>
              <w:rPr>
                <w:rFonts w:ascii="Arial" w:cs="Arial" w:eastAsia="Arial" w:hAnsi="Arial"/>
                <w:sz w:val="13"/>
                <w:szCs w:val="13"/>
                <w:color w:val="auto"/>
              </w:rPr>
              <w:t>1,025,903</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-2539365</wp:posOffset>
            </wp:positionV>
            <wp:extent cx="7000240" cy="107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-2108200</wp:posOffset>
            </wp:positionV>
            <wp:extent cx="7000240" cy="107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-1892300</wp:posOffset>
            </wp:positionV>
            <wp:extent cx="7000240" cy="107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-1649730</wp:posOffset>
            </wp:positionV>
            <wp:extent cx="7000240" cy="107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-962660</wp:posOffset>
            </wp:positionV>
            <wp:extent cx="7000240" cy="107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-720090</wp:posOffset>
            </wp:positionV>
            <wp:extent cx="7000240" cy="107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0240" cy="107950"/>
                    </a:xfrm>
                    <a:prstGeom prst="rect">
                      <a:avLst/>
                    </a:prstGeom>
                    <a:noFill/>
                  </pic:spPr>
                </pic:pic>
              </a:graphicData>
            </a:graphic>
          </wp:anchor>
        </w:drawing>
      </w:r>
    </w:p>
    <w:p>
      <w:pPr>
        <w:spacing w:after="0" w:line="56" w:lineRule="exact"/>
        <w:rPr>
          <w:sz w:val="20"/>
          <w:szCs w:val="20"/>
          <w:color w:val="auto"/>
        </w:rPr>
      </w:pPr>
    </w:p>
    <w:p>
      <w:pPr>
        <w:ind w:left="80"/>
        <w:spacing w:after="0"/>
        <w:rPr>
          <w:sz w:val="20"/>
          <w:szCs w:val="20"/>
          <w:color w:val="auto"/>
        </w:rPr>
      </w:pPr>
      <w:r>
        <w:rPr>
          <w:rFonts w:ascii="Arial" w:cs="Arial" w:eastAsia="Arial" w:hAnsi="Arial"/>
          <w:sz w:val="13"/>
          <w:szCs w:val="13"/>
          <w:color w:val="auto"/>
        </w:rPr>
        <w:t>Amortisation expense of $47.8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100"/>
          </w:cols>
          <w:pgMar w:left="220" w:top="696" w:right="579" w:bottom="1440" w:gutter="0" w:footer="0" w:header="0"/>
        </w:sectPr>
      </w:pPr>
    </w:p>
    <w:bookmarkStart w:id="102" w:name="page103"/>
    <w:bookmarkEnd w:id="102"/>
    <w:p>
      <w:pPr>
        <w:ind w:left="80"/>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400" w:hanging="315"/>
        <w:spacing w:after="0"/>
        <w:tabs>
          <w:tab w:leader="none" w:pos="40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 w:type="dxa"/>
            <w:vAlign w:val="bottom"/>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Customer</w:t>
            </w:r>
          </w:p>
        </w:tc>
        <w:tc>
          <w:tcPr>
            <w:tcW w:w="9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Technology Trade Name and</w:t>
            </w:r>
          </w:p>
        </w:tc>
        <w:tc>
          <w:tcPr>
            <w:tcW w:w="9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8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Software</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Relationships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Volunteer List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Order Backlog</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Asset</w:t>
            </w:r>
          </w:p>
        </w:tc>
        <w:tc>
          <w:tcPr>
            <w:tcW w:w="2200" w:type="dxa"/>
            <w:vAlign w:val="bottom"/>
            <w:tcBorders>
              <w:bottom w:val="single" w:sz="8" w:color="auto"/>
            </w:tcBorders>
            <w:gridSpan w:val="2"/>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98"/>
              </w:rPr>
              <w:t>Non-CompetesPatient Database</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Goodwill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center"/>
              <w:ind w:left="416"/>
              <w:spacing w:after="0"/>
              <w:rPr>
                <w:sz w:val="20"/>
                <w:szCs w:val="20"/>
                <w:color w:val="auto"/>
              </w:rPr>
            </w:pPr>
            <w:r>
              <w:rPr>
                <w:rFonts w:ascii="Arial" w:cs="Arial" w:eastAsia="Arial" w:hAnsi="Arial"/>
                <w:sz w:val="13"/>
                <w:szCs w:val="13"/>
                <w:b w:val="1"/>
                <w:bCs w:val="1"/>
                <w:color w:val="auto"/>
                <w:w w:val="98"/>
              </w:rPr>
              <w:t>$’000</w:t>
            </w:r>
          </w:p>
        </w:tc>
        <w:tc>
          <w:tcPr>
            <w:tcW w:w="12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st</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920" w:type="dxa"/>
            <w:vAlign w:val="bottom"/>
            <w:gridSpan w:val="2"/>
          </w:tcPr>
          <w:p>
            <w:pPr>
              <w:spacing w:after="0"/>
              <w:rPr>
                <w:sz w:val="20"/>
                <w:szCs w:val="20"/>
                <w:color w:val="auto"/>
              </w:rPr>
            </w:pPr>
            <w:r>
              <w:rPr>
                <w:rFonts w:ascii="Arial" w:cs="Arial" w:eastAsia="Arial" w:hAnsi="Arial"/>
                <w:sz w:val="13"/>
                <w:szCs w:val="13"/>
                <w:color w:val="auto"/>
              </w:rPr>
              <w:t>1 January 2019</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244,238</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111,993</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1,325</w:t>
            </w:r>
          </w:p>
        </w:tc>
        <w:tc>
          <w:tcPr>
            <w:tcW w:w="1100" w:type="dxa"/>
            <w:vAlign w:val="bottom"/>
          </w:tcPr>
          <w:p>
            <w:pPr>
              <w:jc w:val="right"/>
              <w:ind w:right="136"/>
              <w:spacing w:after="0"/>
              <w:rPr>
                <w:sz w:val="20"/>
                <w:szCs w:val="20"/>
                <w:color w:val="auto"/>
              </w:rPr>
            </w:pPr>
            <w:r>
              <w:rPr>
                <w:rFonts w:ascii="Arial" w:cs="Arial" w:eastAsia="Arial" w:hAnsi="Arial"/>
                <w:sz w:val="13"/>
                <w:szCs w:val="13"/>
                <w:color w:val="auto"/>
              </w:rPr>
              <w:t>30,609</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8,982</w:t>
            </w:r>
          </w:p>
        </w:tc>
        <w:tc>
          <w:tcPr>
            <w:tcW w:w="1280" w:type="dxa"/>
            <w:vAlign w:val="bottom"/>
          </w:tcPr>
          <w:p>
            <w:pPr>
              <w:jc w:val="right"/>
              <w:ind w:right="316"/>
              <w:spacing w:after="0"/>
              <w:rPr>
                <w:sz w:val="20"/>
                <w:szCs w:val="20"/>
                <w:color w:val="auto"/>
              </w:rPr>
            </w:pPr>
            <w:r>
              <w:rPr>
                <w:rFonts w:ascii="Arial" w:cs="Arial" w:eastAsia="Arial" w:hAnsi="Arial"/>
                <w:sz w:val="13"/>
                <w:szCs w:val="13"/>
                <w:color w:val="auto"/>
              </w:rPr>
              <w:t>2,988</w:t>
            </w:r>
          </w:p>
        </w:tc>
        <w:tc>
          <w:tcPr>
            <w:tcW w:w="9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770,269</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1,170,404</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3"/>
                <w:szCs w:val="13"/>
                <w:color w:val="auto"/>
              </w:rPr>
              <w:t>ditions</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31,315</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31,315</w:t>
            </w:r>
          </w:p>
        </w:tc>
        <w:tc>
          <w:tcPr>
            <w:tcW w:w="0" w:type="dxa"/>
            <w:vAlign w:val="bottom"/>
          </w:tcPr>
          <w:p>
            <w:pPr>
              <w:spacing w:after="0"/>
              <w:rPr>
                <w:sz w:val="1"/>
                <w:szCs w:val="1"/>
                <w:color w:val="auto"/>
              </w:rPr>
            </w:pPr>
          </w:p>
        </w:tc>
      </w:tr>
      <w:tr>
        <w:trPr>
          <w:trHeight w:val="165"/>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posal</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(197)</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70"/>
        </w:trPr>
        <w:tc>
          <w:tcPr>
            <w:tcW w:w="1920" w:type="dxa"/>
            <w:vAlign w:val="bottom"/>
            <w:gridSpan w:val="2"/>
          </w:tcPr>
          <w:p>
            <w:pPr>
              <w:spacing w:after="0"/>
              <w:rPr>
                <w:sz w:val="20"/>
                <w:szCs w:val="20"/>
                <w:color w:val="auto"/>
              </w:rPr>
            </w:pPr>
            <w:r>
              <w:rPr>
                <w:rFonts w:ascii="Arial" w:cs="Arial" w:eastAsia="Arial" w:hAnsi="Arial"/>
                <w:sz w:val="13"/>
                <w:szCs w:val="13"/>
                <w:color w:val="auto"/>
              </w:rPr>
              <w:t>sing on acquisition</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378</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22,570</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6"/>
              <w:spacing w:after="0"/>
              <w:rPr>
                <w:sz w:val="20"/>
                <w:szCs w:val="20"/>
                <w:color w:val="auto"/>
              </w:rPr>
            </w:pPr>
            <w:r>
              <w:rPr>
                <w:rFonts w:ascii="Arial" w:cs="Arial" w:eastAsia="Arial" w:hAnsi="Arial"/>
                <w:sz w:val="13"/>
                <w:szCs w:val="13"/>
                <w:color w:val="auto"/>
              </w:rPr>
              <w:t>5,098</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16"/>
              <w:spacing w:after="0"/>
              <w:rPr>
                <w:sz w:val="20"/>
                <w:szCs w:val="20"/>
                <w:color w:val="auto"/>
              </w:rPr>
            </w:pPr>
            <w:r>
              <w:rPr>
                <w:rFonts w:ascii="Arial" w:cs="Arial" w:eastAsia="Arial" w:hAnsi="Arial"/>
                <w:sz w:val="13"/>
                <w:szCs w:val="13"/>
                <w:color w:val="auto"/>
              </w:rPr>
              <w:t>2,542</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126,932</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157,520</w:t>
            </w:r>
          </w:p>
        </w:tc>
        <w:tc>
          <w:tcPr>
            <w:tcW w:w="0" w:type="dxa"/>
            <w:vAlign w:val="bottom"/>
          </w:tcPr>
          <w:p>
            <w:pPr>
              <w:spacing w:after="0"/>
              <w:rPr>
                <w:sz w:val="1"/>
                <w:szCs w:val="1"/>
                <w:color w:val="auto"/>
              </w:rPr>
            </w:pPr>
          </w:p>
        </w:tc>
      </w:tr>
      <w:tr>
        <w:trPr>
          <w:trHeight w:val="172"/>
        </w:trPr>
        <w:tc>
          <w:tcPr>
            <w:tcW w:w="1920" w:type="dxa"/>
            <w:vAlign w:val="bottom"/>
            <w:gridSpan w:val="2"/>
          </w:tcPr>
          <w:p>
            <w:pPr>
              <w:spacing w:after="0"/>
              <w:rPr>
                <w:sz w:val="20"/>
                <w:szCs w:val="20"/>
                <w:color w:val="auto"/>
              </w:rPr>
            </w:pPr>
            <w:r>
              <w:rPr>
                <w:rFonts w:ascii="Arial" w:cs="Arial" w:eastAsia="Arial" w:hAnsi="Arial"/>
                <w:sz w:val="13"/>
                <w:szCs w:val="13"/>
                <w:color w:val="auto"/>
              </w:rPr>
              <w:t>reign exchange movement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(103)</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(270)</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6"/>
              <w:spacing w:after="0"/>
              <w:rPr>
                <w:sz w:val="20"/>
                <w:szCs w:val="20"/>
                <w:color w:val="auto"/>
              </w:rPr>
            </w:pPr>
            <w:r>
              <w:rPr>
                <w:rFonts w:ascii="Arial" w:cs="Arial" w:eastAsia="Arial" w:hAnsi="Arial"/>
                <w:sz w:val="13"/>
                <w:szCs w:val="13"/>
                <w:color w:val="auto"/>
              </w:rPr>
              <w:t>(271)</w:t>
            </w:r>
          </w:p>
        </w:tc>
        <w:tc>
          <w:tcPr>
            <w:tcW w:w="920" w:type="dxa"/>
            <w:vAlign w:val="bottom"/>
          </w:tcPr>
          <w:p>
            <w:pPr>
              <w:jc w:val="center"/>
              <w:ind w:left="436"/>
              <w:spacing w:after="0"/>
              <w:rPr>
                <w:sz w:val="20"/>
                <w:szCs w:val="20"/>
                <w:color w:val="auto"/>
              </w:rPr>
            </w:pPr>
            <w:r>
              <w:rPr>
                <w:rFonts w:ascii="Arial" w:cs="Arial" w:eastAsia="Arial" w:hAnsi="Arial"/>
                <w:sz w:val="13"/>
                <w:szCs w:val="13"/>
                <w:color w:val="auto"/>
                <w:w w:val="98"/>
              </w:rPr>
              <w:t>(200)</w:t>
            </w:r>
          </w:p>
        </w:tc>
        <w:tc>
          <w:tcPr>
            <w:tcW w:w="1280" w:type="dxa"/>
            <w:vAlign w:val="bottom"/>
          </w:tcPr>
          <w:p>
            <w:pPr>
              <w:jc w:val="right"/>
              <w:ind w:right="276"/>
              <w:spacing w:after="0"/>
              <w:rPr>
                <w:sz w:val="20"/>
                <w:szCs w:val="20"/>
                <w:color w:val="auto"/>
              </w:rPr>
            </w:pPr>
            <w:r>
              <w:rPr>
                <w:rFonts w:ascii="Arial" w:cs="Arial" w:eastAsia="Arial" w:hAnsi="Arial"/>
                <w:sz w:val="13"/>
                <w:szCs w:val="13"/>
                <w:color w:val="auto"/>
              </w:rPr>
              <w:t>(25)</w:t>
            </w:r>
          </w:p>
        </w:tc>
        <w:tc>
          <w:tcPr>
            <w:tcW w:w="920" w:type="dxa"/>
            <w:vAlign w:val="bottom"/>
          </w:tcPr>
          <w:p>
            <w:pPr>
              <w:jc w:val="right"/>
              <w:ind w:right="216"/>
              <w:spacing w:after="0"/>
              <w:rPr>
                <w:sz w:val="20"/>
                <w:szCs w:val="20"/>
                <w:color w:val="auto"/>
              </w:rPr>
            </w:pPr>
            <w:r>
              <w:rPr>
                <w:rFonts w:ascii="Arial" w:cs="Arial" w:eastAsia="Arial" w:hAnsi="Arial"/>
                <w:sz w:val="13"/>
                <w:szCs w:val="13"/>
                <w:color w:val="auto"/>
              </w:rPr>
              <w:t>71</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(22)</w:t>
            </w:r>
          </w:p>
        </w:tc>
        <w:tc>
          <w:tcPr>
            <w:tcW w:w="840" w:type="dxa"/>
            <w:vAlign w:val="bottom"/>
          </w:tcPr>
          <w:p>
            <w:pPr>
              <w:jc w:val="right"/>
              <w:spacing w:after="0"/>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2019</w:t>
            </w:r>
          </w:p>
        </w:tc>
        <w:tc>
          <w:tcPr>
            <w:tcW w:w="1140" w:type="dxa"/>
            <w:vAlign w:val="bottom"/>
          </w:tcPr>
          <w:p>
            <w:pPr>
              <w:jc w:val="right"/>
              <w:ind w:right="76"/>
              <w:spacing w:after="0"/>
              <w:rPr>
                <w:sz w:val="20"/>
                <w:szCs w:val="20"/>
                <w:color w:val="auto"/>
              </w:rPr>
            </w:pPr>
            <w:r>
              <w:rPr>
                <w:rFonts w:ascii="Arial" w:cs="Arial" w:eastAsia="Arial" w:hAnsi="Arial"/>
                <w:sz w:val="13"/>
                <w:szCs w:val="13"/>
                <w:b w:val="1"/>
                <w:bCs w:val="1"/>
                <w:color w:val="auto"/>
              </w:rPr>
              <w:t>275,631</w:t>
            </w:r>
          </w:p>
        </w:tc>
        <w:tc>
          <w:tcPr>
            <w:tcW w:w="1020" w:type="dxa"/>
            <w:vAlign w:val="bottom"/>
          </w:tcPr>
          <w:p>
            <w:pPr>
              <w:jc w:val="right"/>
              <w:ind w:right="56"/>
              <w:spacing w:after="0"/>
              <w:rPr>
                <w:sz w:val="20"/>
                <w:szCs w:val="20"/>
                <w:color w:val="auto"/>
              </w:rPr>
            </w:pPr>
            <w:r>
              <w:rPr>
                <w:rFonts w:ascii="Arial" w:cs="Arial" w:eastAsia="Arial" w:hAnsi="Arial"/>
                <w:sz w:val="13"/>
                <w:szCs w:val="13"/>
                <w:b w:val="1"/>
                <w:bCs w:val="1"/>
                <w:color w:val="auto"/>
              </w:rPr>
              <w:t>134,293</w:t>
            </w: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1,325</w:t>
            </w:r>
          </w:p>
        </w:tc>
        <w:tc>
          <w:tcPr>
            <w:tcW w:w="1100" w:type="dxa"/>
            <w:vAlign w:val="bottom"/>
          </w:tcPr>
          <w:p>
            <w:pPr>
              <w:jc w:val="right"/>
              <w:ind w:right="136"/>
              <w:spacing w:after="0"/>
              <w:rPr>
                <w:sz w:val="20"/>
                <w:szCs w:val="20"/>
                <w:color w:val="auto"/>
              </w:rPr>
            </w:pPr>
            <w:r>
              <w:rPr>
                <w:rFonts w:ascii="Arial" w:cs="Arial" w:eastAsia="Arial" w:hAnsi="Arial"/>
                <w:sz w:val="13"/>
                <w:szCs w:val="13"/>
                <w:b w:val="1"/>
                <w:bCs w:val="1"/>
                <w:color w:val="auto"/>
              </w:rPr>
              <w:t>35,436</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8,782</w:t>
            </w:r>
          </w:p>
        </w:tc>
        <w:tc>
          <w:tcPr>
            <w:tcW w:w="1280" w:type="dxa"/>
            <w:vAlign w:val="bottom"/>
          </w:tcPr>
          <w:p>
            <w:pPr>
              <w:jc w:val="right"/>
              <w:ind w:right="316"/>
              <w:spacing w:after="0"/>
              <w:rPr>
                <w:sz w:val="20"/>
                <w:szCs w:val="20"/>
                <w:color w:val="auto"/>
              </w:rPr>
            </w:pPr>
            <w:r>
              <w:rPr>
                <w:rFonts w:ascii="Arial" w:cs="Arial" w:eastAsia="Arial" w:hAnsi="Arial"/>
                <w:sz w:val="13"/>
                <w:szCs w:val="13"/>
                <w:b w:val="1"/>
                <w:bCs w:val="1"/>
                <w:color w:val="auto"/>
              </w:rPr>
              <w:t>2,963</w:t>
            </w:r>
          </w:p>
        </w:tc>
        <w:tc>
          <w:tcPr>
            <w:tcW w:w="920" w:type="dxa"/>
            <w:vAlign w:val="bottom"/>
          </w:tcPr>
          <w:p>
            <w:pPr>
              <w:jc w:val="right"/>
              <w:ind w:right="216"/>
              <w:spacing w:after="0"/>
              <w:rPr>
                <w:sz w:val="20"/>
                <w:szCs w:val="20"/>
                <w:color w:val="auto"/>
              </w:rPr>
            </w:pPr>
            <w:r>
              <w:rPr>
                <w:rFonts w:ascii="Arial" w:cs="Arial" w:eastAsia="Arial" w:hAnsi="Arial"/>
                <w:sz w:val="13"/>
                <w:szCs w:val="13"/>
                <w:b w:val="1"/>
                <w:bCs w:val="1"/>
                <w:color w:val="auto"/>
              </w:rPr>
              <w:t>2,613</w:t>
            </w:r>
          </w:p>
        </w:tc>
        <w:tc>
          <w:tcPr>
            <w:tcW w:w="960" w:type="dxa"/>
            <w:vAlign w:val="bottom"/>
          </w:tcPr>
          <w:p>
            <w:pPr>
              <w:jc w:val="right"/>
              <w:ind w:right="176"/>
              <w:spacing w:after="0"/>
              <w:rPr>
                <w:sz w:val="20"/>
                <w:szCs w:val="20"/>
                <w:color w:val="auto"/>
              </w:rPr>
            </w:pPr>
            <w:r>
              <w:rPr>
                <w:rFonts w:ascii="Arial" w:cs="Arial" w:eastAsia="Arial" w:hAnsi="Arial"/>
                <w:sz w:val="13"/>
                <w:szCs w:val="13"/>
                <w:b w:val="1"/>
                <w:bCs w:val="1"/>
                <w:color w:val="auto"/>
              </w:rPr>
              <w:t>897,179</w:t>
            </w:r>
          </w:p>
        </w:tc>
        <w:tc>
          <w:tcPr>
            <w:tcW w:w="840" w:type="dxa"/>
            <w:vAlign w:val="bottom"/>
          </w:tcPr>
          <w:p>
            <w:pPr>
              <w:jc w:val="right"/>
              <w:ind w:right="16"/>
              <w:spacing w:after="0"/>
              <w:rPr>
                <w:sz w:val="20"/>
                <w:szCs w:val="20"/>
                <w:color w:val="auto"/>
              </w:rPr>
            </w:pPr>
            <w:r>
              <w:rPr>
                <w:rFonts w:ascii="Arial" w:cs="Arial" w:eastAsia="Arial" w:hAnsi="Arial"/>
                <w:sz w:val="13"/>
                <w:szCs w:val="13"/>
                <w:b w:val="1"/>
                <w:bCs w:val="1"/>
                <w:color w:val="auto"/>
              </w:rPr>
              <w:t>1,358,222</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20" w:type="dxa"/>
            <w:vAlign w:val="bottom"/>
            <w:gridSpan w:val="2"/>
          </w:tcPr>
          <w:p>
            <w:pPr>
              <w:ind w:left="40"/>
              <w:spacing w:after="0"/>
              <w:rPr>
                <w:sz w:val="20"/>
                <w:szCs w:val="20"/>
                <w:color w:val="auto"/>
              </w:rPr>
            </w:pPr>
            <w:r>
              <w:rPr>
                <w:rFonts w:ascii="Arial" w:cs="Arial" w:eastAsia="Arial" w:hAnsi="Arial"/>
                <w:sz w:val="13"/>
                <w:szCs w:val="13"/>
                <w:b w:val="1"/>
                <w:bCs w:val="1"/>
                <w:color w:val="auto"/>
              </w:rPr>
              <w:t>ortisation</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20"/>
                <w:szCs w:val="20"/>
                <w:color w:val="auto"/>
              </w:rPr>
            </w:pPr>
            <w:r>
              <w:rPr>
                <w:rFonts w:ascii="Arial" w:cs="Arial" w:eastAsia="Arial" w:hAnsi="Arial"/>
                <w:sz w:val="13"/>
                <w:szCs w:val="13"/>
                <w:color w:val="auto"/>
                <w:w w:val="82"/>
              </w:rPr>
              <w:t>1</w:t>
            </w:r>
          </w:p>
        </w:tc>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January 2019</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189,279</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67,946</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1,325</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20,609</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8,982</w:t>
            </w: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2,980</w:t>
            </w:r>
          </w:p>
        </w:tc>
        <w:tc>
          <w:tcPr>
            <w:tcW w:w="9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291,121</w:t>
            </w:r>
          </w:p>
        </w:tc>
        <w:tc>
          <w:tcPr>
            <w:tcW w:w="0" w:type="dxa"/>
            <w:vAlign w:val="bottom"/>
          </w:tcPr>
          <w:p>
            <w:pPr>
              <w:spacing w:after="0"/>
              <w:rPr>
                <w:sz w:val="1"/>
                <w:szCs w:val="1"/>
                <w:color w:val="auto"/>
              </w:rPr>
            </w:pPr>
          </w:p>
        </w:tc>
      </w:tr>
      <w:tr>
        <w:trPr>
          <w:trHeight w:val="168"/>
        </w:trPr>
        <w:tc>
          <w:tcPr>
            <w:tcW w:w="1920" w:type="dxa"/>
            <w:vAlign w:val="bottom"/>
            <w:gridSpan w:val="2"/>
          </w:tcPr>
          <w:p>
            <w:pPr>
              <w:ind w:left="40"/>
              <w:spacing w:after="0"/>
              <w:rPr>
                <w:sz w:val="20"/>
                <w:szCs w:val="20"/>
                <w:color w:val="auto"/>
              </w:rPr>
            </w:pPr>
            <w:r>
              <w:rPr>
                <w:rFonts w:ascii="Arial" w:cs="Arial" w:eastAsia="Arial" w:hAnsi="Arial"/>
                <w:sz w:val="13"/>
                <w:szCs w:val="13"/>
                <w:color w:val="auto"/>
              </w:rPr>
              <w:t>ortised in the year</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26,006</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12,526</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6"/>
              <w:spacing w:after="0"/>
              <w:rPr>
                <w:sz w:val="20"/>
                <w:szCs w:val="20"/>
                <w:color w:val="auto"/>
              </w:rPr>
            </w:pPr>
            <w:r>
              <w:rPr>
                <w:rFonts w:ascii="Arial" w:cs="Arial" w:eastAsia="Arial" w:hAnsi="Arial"/>
                <w:sz w:val="13"/>
                <w:szCs w:val="13"/>
                <w:color w:val="auto"/>
              </w:rPr>
              <w:t>3,205</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16"/>
              <w:spacing w:after="0"/>
              <w:rPr>
                <w:sz w:val="20"/>
                <w:szCs w:val="20"/>
                <w:color w:val="auto"/>
              </w:rPr>
            </w:pPr>
            <w:r>
              <w:rPr>
                <w:rFonts w:ascii="Arial" w:cs="Arial" w:eastAsia="Arial" w:hAnsi="Arial"/>
                <w:sz w:val="13"/>
                <w:szCs w:val="13"/>
                <w:color w:val="auto"/>
              </w:rPr>
              <w:t>216</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41,953</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3"/>
                <w:szCs w:val="13"/>
                <w:color w:val="auto"/>
              </w:rPr>
              <w:t>posal</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(130)</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68"/>
        </w:trPr>
        <w:tc>
          <w:tcPr>
            <w:tcW w:w="1920" w:type="dxa"/>
            <w:vAlign w:val="bottom"/>
            <w:gridSpan w:val="2"/>
          </w:tcPr>
          <w:p>
            <w:pPr>
              <w:spacing w:after="0"/>
              <w:rPr>
                <w:sz w:val="20"/>
                <w:szCs w:val="20"/>
                <w:color w:val="auto"/>
              </w:rPr>
            </w:pPr>
            <w:r>
              <w:rPr>
                <w:rFonts w:ascii="Arial" w:cs="Arial" w:eastAsia="Arial" w:hAnsi="Arial"/>
                <w:sz w:val="13"/>
                <w:szCs w:val="13"/>
                <w:color w:val="auto"/>
              </w:rPr>
              <w:t>reign exchange movement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(354)</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(18)</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6"/>
              <w:spacing w:after="0"/>
              <w:rPr>
                <w:sz w:val="20"/>
                <w:szCs w:val="20"/>
                <w:color w:val="auto"/>
              </w:rPr>
            </w:pPr>
            <w:r>
              <w:rPr>
                <w:rFonts w:ascii="Arial" w:cs="Arial" w:eastAsia="Arial" w:hAnsi="Arial"/>
                <w:sz w:val="13"/>
                <w:szCs w:val="13"/>
                <w:color w:val="auto"/>
              </w:rPr>
              <w:t>(43)</w:t>
            </w:r>
          </w:p>
        </w:tc>
        <w:tc>
          <w:tcPr>
            <w:tcW w:w="920" w:type="dxa"/>
            <w:vAlign w:val="bottom"/>
          </w:tcPr>
          <w:p>
            <w:pPr>
              <w:jc w:val="center"/>
              <w:ind w:left="436"/>
              <w:spacing w:after="0"/>
              <w:rPr>
                <w:sz w:val="20"/>
                <w:szCs w:val="20"/>
                <w:color w:val="auto"/>
              </w:rPr>
            </w:pPr>
            <w:r>
              <w:rPr>
                <w:rFonts w:ascii="Arial" w:cs="Arial" w:eastAsia="Arial" w:hAnsi="Arial"/>
                <w:sz w:val="13"/>
                <w:szCs w:val="13"/>
                <w:color w:val="auto"/>
                <w:w w:val="98"/>
              </w:rPr>
              <w:t>(200)</w:t>
            </w:r>
          </w:p>
        </w:tc>
        <w:tc>
          <w:tcPr>
            <w:tcW w:w="1280" w:type="dxa"/>
            <w:vAlign w:val="bottom"/>
          </w:tcPr>
          <w:p>
            <w:pPr>
              <w:jc w:val="right"/>
              <w:ind w:right="276"/>
              <w:spacing w:after="0"/>
              <w:rPr>
                <w:sz w:val="20"/>
                <w:szCs w:val="20"/>
                <w:color w:val="auto"/>
              </w:rPr>
            </w:pPr>
            <w:r>
              <w:rPr>
                <w:rFonts w:ascii="Arial" w:cs="Arial" w:eastAsia="Arial" w:hAnsi="Arial"/>
                <w:sz w:val="13"/>
                <w:szCs w:val="13"/>
                <w:color w:val="auto"/>
              </w:rPr>
              <w:t>(25)</w:t>
            </w:r>
          </w:p>
        </w:tc>
        <w:tc>
          <w:tcPr>
            <w:tcW w:w="920" w:type="dxa"/>
            <w:vAlign w:val="bottom"/>
          </w:tcPr>
          <w:p>
            <w:pPr>
              <w:jc w:val="right"/>
              <w:ind w:right="216"/>
              <w:spacing w:after="0"/>
              <w:rPr>
                <w:sz w:val="20"/>
                <w:szCs w:val="20"/>
                <w:color w:val="auto"/>
              </w:rPr>
            </w:pPr>
            <w:r>
              <w:rPr>
                <w:rFonts w:ascii="Arial" w:cs="Arial" w:eastAsia="Arial" w:hAnsi="Arial"/>
                <w:sz w:val="13"/>
                <w:szCs w:val="13"/>
                <w:color w:val="auto"/>
              </w:rPr>
              <w:t>15</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2019</w:t>
            </w:r>
          </w:p>
        </w:tc>
        <w:tc>
          <w:tcPr>
            <w:tcW w:w="1140" w:type="dxa"/>
            <w:vAlign w:val="bottom"/>
          </w:tcPr>
          <w:p>
            <w:pPr>
              <w:jc w:val="right"/>
              <w:ind w:right="76"/>
              <w:spacing w:after="0"/>
              <w:rPr>
                <w:sz w:val="20"/>
                <w:szCs w:val="20"/>
                <w:color w:val="auto"/>
              </w:rPr>
            </w:pPr>
            <w:r>
              <w:rPr>
                <w:rFonts w:ascii="Arial" w:cs="Arial" w:eastAsia="Arial" w:hAnsi="Arial"/>
                <w:sz w:val="13"/>
                <w:szCs w:val="13"/>
                <w:b w:val="1"/>
                <w:bCs w:val="1"/>
                <w:color w:val="auto"/>
              </w:rPr>
              <w:t>214,801</w:t>
            </w:r>
          </w:p>
        </w:tc>
        <w:tc>
          <w:tcPr>
            <w:tcW w:w="1020" w:type="dxa"/>
            <w:vAlign w:val="bottom"/>
          </w:tcPr>
          <w:p>
            <w:pPr>
              <w:jc w:val="right"/>
              <w:ind w:right="56"/>
              <w:spacing w:after="0"/>
              <w:rPr>
                <w:sz w:val="20"/>
                <w:szCs w:val="20"/>
                <w:color w:val="auto"/>
              </w:rPr>
            </w:pPr>
            <w:r>
              <w:rPr>
                <w:rFonts w:ascii="Arial" w:cs="Arial" w:eastAsia="Arial" w:hAnsi="Arial"/>
                <w:sz w:val="13"/>
                <w:szCs w:val="13"/>
                <w:b w:val="1"/>
                <w:bCs w:val="1"/>
                <w:color w:val="auto"/>
              </w:rPr>
              <w:t>80,454</w:t>
            </w: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1,325</w:t>
            </w:r>
          </w:p>
        </w:tc>
        <w:tc>
          <w:tcPr>
            <w:tcW w:w="1100" w:type="dxa"/>
            <w:vAlign w:val="bottom"/>
          </w:tcPr>
          <w:p>
            <w:pPr>
              <w:jc w:val="right"/>
              <w:ind w:right="136"/>
              <w:spacing w:after="0"/>
              <w:rPr>
                <w:sz w:val="20"/>
                <w:szCs w:val="20"/>
                <w:color w:val="auto"/>
              </w:rPr>
            </w:pPr>
            <w:r>
              <w:rPr>
                <w:rFonts w:ascii="Arial" w:cs="Arial" w:eastAsia="Arial" w:hAnsi="Arial"/>
                <w:sz w:val="13"/>
                <w:szCs w:val="13"/>
                <w:b w:val="1"/>
                <w:bCs w:val="1"/>
                <w:color w:val="auto"/>
              </w:rPr>
              <w:t>23,771</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8,782</w:t>
            </w:r>
          </w:p>
        </w:tc>
        <w:tc>
          <w:tcPr>
            <w:tcW w:w="1280" w:type="dxa"/>
            <w:vAlign w:val="bottom"/>
          </w:tcPr>
          <w:p>
            <w:pPr>
              <w:jc w:val="right"/>
              <w:ind w:right="316"/>
              <w:spacing w:after="0"/>
              <w:rPr>
                <w:sz w:val="20"/>
                <w:szCs w:val="20"/>
                <w:color w:val="auto"/>
              </w:rPr>
            </w:pPr>
            <w:r>
              <w:rPr>
                <w:rFonts w:ascii="Arial" w:cs="Arial" w:eastAsia="Arial" w:hAnsi="Arial"/>
                <w:sz w:val="13"/>
                <w:szCs w:val="13"/>
                <w:b w:val="1"/>
                <w:bCs w:val="1"/>
                <w:color w:val="auto"/>
              </w:rPr>
              <w:t>2,955</w:t>
            </w:r>
          </w:p>
        </w:tc>
        <w:tc>
          <w:tcPr>
            <w:tcW w:w="920" w:type="dxa"/>
            <w:vAlign w:val="bottom"/>
          </w:tcPr>
          <w:p>
            <w:pPr>
              <w:jc w:val="right"/>
              <w:ind w:right="216"/>
              <w:spacing w:after="0"/>
              <w:rPr>
                <w:sz w:val="20"/>
                <w:szCs w:val="20"/>
                <w:color w:val="auto"/>
              </w:rPr>
            </w:pPr>
            <w:r>
              <w:rPr>
                <w:rFonts w:ascii="Arial" w:cs="Arial" w:eastAsia="Arial" w:hAnsi="Arial"/>
                <w:sz w:val="13"/>
                <w:szCs w:val="13"/>
                <w:b w:val="1"/>
                <w:bCs w:val="1"/>
                <w:color w:val="auto"/>
              </w:rPr>
              <w:t>231</w:t>
            </w:r>
          </w:p>
        </w:tc>
        <w:tc>
          <w:tcPr>
            <w:tcW w:w="960" w:type="dxa"/>
            <w:vAlign w:val="bottom"/>
          </w:tcPr>
          <w:p>
            <w:pPr>
              <w:jc w:val="right"/>
              <w:ind w:right="176"/>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b w:val="1"/>
                <w:bCs w:val="1"/>
                <w:color w:val="auto"/>
              </w:rPr>
              <w:t>332,319</w:t>
            </w:r>
          </w:p>
        </w:tc>
        <w:tc>
          <w:tcPr>
            <w:tcW w:w="0" w:type="dxa"/>
            <w:vAlign w:val="bottom"/>
          </w:tcPr>
          <w:p>
            <w:pPr>
              <w:spacing w:after="0"/>
              <w:rPr>
                <w:sz w:val="1"/>
                <w:szCs w:val="1"/>
                <w:color w:val="auto"/>
              </w:rPr>
            </w:pPr>
          </w:p>
        </w:tc>
      </w:tr>
      <w:tr>
        <w:trPr>
          <w:trHeight w:val="192"/>
        </w:trPr>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rPr>
              <w:t>t</w:t>
            </w:r>
          </w:p>
        </w:tc>
        <w:tc>
          <w:tcPr>
            <w:tcW w:w="18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vMerge w:val="continue"/>
          </w:tcPr>
          <w:p>
            <w:pPr>
              <w:spacing w:after="0"/>
              <w:rPr>
                <w:sz w:val="14"/>
                <w:szCs w:val="14"/>
                <w:color w:val="auto"/>
              </w:rPr>
            </w:pPr>
          </w:p>
        </w:tc>
        <w:tc>
          <w:tcPr>
            <w:tcW w:w="1840" w:type="dxa"/>
            <w:vAlign w:val="bottom"/>
          </w:tcPr>
          <w:p>
            <w:pPr>
              <w:spacing w:after="0"/>
              <w:rPr>
                <w:sz w:val="20"/>
                <w:szCs w:val="20"/>
                <w:color w:val="auto"/>
              </w:rPr>
            </w:pPr>
            <w:r>
              <w:rPr>
                <w:rFonts w:ascii="Arial" w:cs="Arial" w:eastAsia="Arial" w:hAnsi="Arial"/>
                <w:sz w:val="13"/>
                <w:szCs w:val="13"/>
                <w:b w:val="1"/>
                <w:bCs w:val="1"/>
                <w:color w:val="auto"/>
              </w:rPr>
              <w:t>book value</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2019</w:t>
            </w:r>
          </w:p>
        </w:tc>
        <w:tc>
          <w:tcPr>
            <w:tcW w:w="1140" w:type="dxa"/>
            <w:vAlign w:val="bottom"/>
          </w:tcPr>
          <w:p>
            <w:pPr>
              <w:jc w:val="right"/>
              <w:ind w:right="76"/>
              <w:spacing w:after="0"/>
              <w:rPr>
                <w:sz w:val="20"/>
                <w:szCs w:val="20"/>
                <w:color w:val="auto"/>
              </w:rPr>
            </w:pPr>
            <w:r>
              <w:rPr>
                <w:rFonts w:ascii="Arial" w:cs="Arial" w:eastAsia="Arial" w:hAnsi="Arial"/>
                <w:sz w:val="13"/>
                <w:szCs w:val="13"/>
                <w:b w:val="1"/>
                <w:bCs w:val="1"/>
                <w:color w:val="auto"/>
              </w:rPr>
              <w:t>60,830</w:t>
            </w:r>
          </w:p>
        </w:tc>
        <w:tc>
          <w:tcPr>
            <w:tcW w:w="1020" w:type="dxa"/>
            <w:vAlign w:val="bottom"/>
          </w:tcPr>
          <w:p>
            <w:pPr>
              <w:jc w:val="right"/>
              <w:ind w:right="56"/>
              <w:spacing w:after="0"/>
              <w:rPr>
                <w:sz w:val="20"/>
                <w:szCs w:val="20"/>
                <w:color w:val="auto"/>
              </w:rPr>
            </w:pPr>
            <w:r>
              <w:rPr>
                <w:rFonts w:ascii="Arial" w:cs="Arial" w:eastAsia="Arial" w:hAnsi="Arial"/>
                <w:sz w:val="13"/>
                <w:szCs w:val="13"/>
                <w:b w:val="1"/>
                <w:bCs w:val="1"/>
                <w:color w:val="auto"/>
              </w:rPr>
              <w:t>53,839</w:t>
            </w: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36"/>
              <w:spacing w:after="0"/>
              <w:rPr>
                <w:sz w:val="20"/>
                <w:szCs w:val="20"/>
                <w:color w:val="auto"/>
              </w:rPr>
            </w:pPr>
            <w:r>
              <w:rPr>
                <w:rFonts w:ascii="Arial" w:cs="Arial" w:eastAsia="Arial" w:hAnsi="Arial"/>
                <w:sz w:val="13"/>
                <w:szCs w:val="13"/>
                <w:b w:val="1"/>
                <w:bCs w:val="1"/>
                <w:color w:val="auto"/>
              </w:rPr>
              <w:t>11,665</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ind w:right="316"/>
              <w:spacing w:after="0"/>
              <w:rPr>
                <w:sz w:val="20"/>
                <w:szCs w:val="20"/>
                <w:color w:val="auto"/>
              </w:rPr>
            </w:pPr>
            <w:r>
              <w:rPr>
                <w:rFonts w:ascii="Arial" w:cs="Arial" w:eastAsia="Arial" w:hAnsi="Arial"/>
                <w:sz w:val="13"/>
                <w:szCs w:val="13"/>
                <w:b w:val="1"/>
                <w:bCs w:val="1"/>
                <w:color w:val="auto"/>
              </w:rPr>
              <w:t>8</w:t>
            </w:r>
          </w:p>
        </w:tc>
        <w:tc>
          <w:tcPr>
            <w:tcW w:w="920" w:type="dxa"/>
            <w:vAlign w:val="bottom"/>
          </w:tcPr>
          <w:p>
            <w:pPr>
              <w:jc w:val="right"/>
              <w:ind w:right="216"/>
              <w:spacing w:after="0"/>
              <w:rPr>
                <w:sz w:val="20"/>
                <w:szCs w:val="20"/>
                <w:color w:val="auto"/>
              </w:rPr>
            </w:pPr>
            <w:r>
              <w:rPr>
                <w:rFonts w:ascii="Arial" w:cs="Arial" w:eastAsia="Arial" w:hAnsi="Arial"/>
                <w:sz w:val="13"/>
                <w:szCs w:val="13"/>
                <w:b w:val="1"/>
                <w:bCs w:val="1"/>
                <w:color w:val="auto"/>
              </w:rPr>
              <w:t>2,382</w:t>
            </w:r>
          </w:p>
        </w:tc>
        <w:tc>
          <w:tcPr>
            <w:tcW w:w="960" w:type="dxa"/>
            <w:vAlign w:val="bottom"/>
          </w:tcPr>
          <w:p>
            <w:pPr>
              <w:jc w:val="right"/>
              <w:ind w:right="176"/>
              <w:spacing w:after="0"/>
              <w:rPr>
                <w:sz w:val="20"/>
                <w:szCs w:val="20"/>
                <w:color w:val="auto"/>
              </w:rPr>
            </w:pPr>
            <w:r>
              <w:rPr>
                <w:rFonts w:ascii="Arial" w:cs="Arial" w:eastAsia="Arial" w:hAnsi="Arial"/>
                <w:sz w:val="13"/>
                <w:szCs w:val="13"/>
                <w:b w:val="1"/>
                <w:bCs w:val="1"/>
                <w:color w:val="auto"/>
              </w:rPr>
              <w:t>897,179</w:t>
            </w:r>
          </w:p>
        </w:tc>
        <w:tc>
          <w:tcPr>
            <w:tcW w:w="840" w:type="dxa"/>
            <w:vAlign w:val="bottom"/>
          </w:tcPr>
          <w:p>
            <w:pPr>
              <w:jc w:val="right"/>
              <w:ind w:right="16"/>
              <w:spacing w:after="0"/>
              <w:rPr>
                <w:sz w:val="20"/>
                <w:szCs w:val="20"/>
                <w:color w:val="auto"/>
              </w:rPr>
            </w:pPr>
            <w:r>
              <w:rPr>
                <w:rFonts w:ascii="Arial" w:cs="Arial" w:eastAsia="Arial" w:hAnsi="Arial"/>
                <w:sz w:val="13"/>
                <w:szCs w:val="13"/>
                <w:b w:val="1"/>
                <w:bCs w:val="1"/>
                <w:color w:val="auto"/>
              </w:rPr>
              <w:t>1,025,903</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920" w:type="dxa"/>
            <w:vAlign w:val="bottom"/>
            <w:gridSpan w:val="2"/>
          </w:tcPr>
          <w:p>
            <w:pPr>
              <w:spacing w:after="0"/>
              <w:rPr>
                <w:sz w:val="20"/>
                <w:szCs w:val="20"/>
                <w:color w:val="auto"/>
              </w:rPr>
            </w:pPr>
            <w:r>
              <w:rPr>
                <w:rFonts w:ascii="Arial" w:cs="Arial" w:eastAsia="Arial" w:hAnsi="Arial"/>
                <w:sz w:val="13"/>
                <w:szCs w:val="13"/>
                <w:color w:val="auto"/>
              </w:rPr>
              <w:t>31 December 2018</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54,959</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44,047</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6"/>
              <w:spacing w:after="0"/>
              <w:rPr>
                <w:sz w:val="20"/>
                <w:szCs w:val="20"/>
                <w:color w:val="auto"/>
              </w:rPr>
            </w:pPr>
            <w:r>
              <w:rPr>
                <w:rFonts w:ascii="Arial" w:cs="Arial" w:eastAsia="Arial" w:hAnsi="Arial"/>
                <w:sz w:val="13"/>
                <w:szCs w:val="13"/>
                <w:color w:val="auto"/>
              </w:rPr>
              <w:t>10,000</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16"/>
              <w:spacing w:after="0"/>
              <w:rPr>
                <w:sz w:val="20"/>
                <w:szCs w:val="20"/>
                <w:color w:val="auto"/>
              </w:rPr>
            </w:pPr>
            <w:r>
              <w:rPr>
                <w:rFonts w:ascii="Arial" w:cs="Arial" w:eastAsia="Arial" w:hAnsi="Arial"/>
                <w:sz w:val="13"/>
                <w:szCs w:val="13"/>
                <w:color w:val="auto"/>
              </w:rPr>
              <w:t>8</w:t>
            </w:r>
          </w:p>
        </w:tc>
        <w:tc>
          <w:tcPr>
            <w:tcW w:w="9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770,269</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879,283</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-2431415</wp:posOffset>
            </wp:positionV>
            <wp:extent cx="6979920" cy="107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7992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-2000250</wp:posOffset>
            </wp:positionV>
            <wp:extent cx="6979920" cy="107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7992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-370205</wp:posOffset>
            </wp:positionV>
            <wp:extent cx="697992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79920" cy="11430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-120650</wp:posOffset>
            </wp:positionV>
            <wp:extent cx="697992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79920" cy="114300"/>
                    </a:xfrm>
                    <a:prstGeom prst="rect">
                      <a:avLst/>
                    </a:prstGeom>
                    <a:noFill/>
                  </pic:spPr>
                </pic:pic>
              </a:graphicData>
            </a:graphic>
          </wp:anchor>
        </w:drawing>
      </w:r>
    </w:p>
    <w:p>
      <w:pPr>
        <w:spacing w:after="0" w:line="56" w:lineRule="exact"/>
        <w:rPr>
          <w:sz w:val="20"/>
          <w:szCs w:val="20"/>
          <w:color w:val="auto"/>
        </w:rPr>
      </w:pPr>
    </w:p>
    <w:p>
      <w:pPr>
        <w:ind w:left="80"/>
        <w:spacing w:after="0"/>
        <w:rPr>
          <w:sz w:val="20"/>
          <w:szCs w:val="20"/>
          <w:color w:val="auto"/>
        </w:rPr>
      </w:pPr>
      <w:r>
        <w:rPr>
          <w:rFonts w:ascii="Arial" w:cs="Arial" w:eastAsia="Arial" w:hAnsi="Arial"/>
          <w:sz w:val="13"/>
          <w:szCs w:val="13"/>
          <w:color w:val="auto"/>
        </w:rPr>
        <w:t>Amortisation expense of $42.0 million has been charged to ‘other operating expenses’ in the Consolidated Statement of Profit and Loss.</w:t>
      </w: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080"/>
          </w:cols>
          <w:pgMar w:left="220" w:top="696" w:right="5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Impairment review of goodwill</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Goodwill acquired through business combinations has been allocated to the Group’s clinical research cash-generating unit (“CGU”). The CGU identified represents the lowest level within the Group at which goodwill is monitored and are not larger than the operating segment determined in accordance with IFRS 8 </w:t>
      </w:r>
      <w:r>
        <w:rPr>
          <w:rFonts w:ascii="Arial" w:cs="Arial" w:eastAsia="Arial" w:hAnsi="Arial"/>
          <w:sz w:val="13"/>
          <w:szCs w:val="13"/>
          <w:i w:val="1"/>
          <w:iCs w:val="1"/>
          <w:color w:val="auto"/>
        </w:rPr>
        <w:t>Operating Segments</w:t>
      </w:r>
      <w:r>
        <w:rPr>
          <w:rFonts w:ascii="Arial" w:cs="Arial" w:eastAsia="Arial" w:hAnsi="Arial"/>
          <w:sz w:val="13"/>
          <w:szCs w:val="13"/>
          <w:color w:val="auto"/>
        </w:rPr>
        <w: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The Group has identified one CGU in accordance with the provisions of IAS 36 </w:t>
      </w:r>
      <w:r>
        <w:rPr>
          <w:rFonts w:ascii="Arial" w:cs="Arial" w:eastAsia="Arial" w:hAnsi="Arial"/>
          <w:sz w:val="13"/>
          <w:szCs w:val="13"/>
          <w:i w:val="1"/>
          <w:iCs w:val="1"/>
          <w:color w:val="auto"/>
        </w:rPr>
        <w:t>Impairment of Assets</w:t>
      </w:r>
      <w:r>
        <w:rPr>
          <w:rFonts w:ascii="Arial" w:cs="Arial" w:eastAsia="Arial" w:hAnsi="Arial"/>
          <w:sz w:val="13"/>
          <w:szCs w:val="13"/>
          <w:color w:val="auto"/>
        </w:rPr>
        <w:t xml:space="preserve"> as follows: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98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r>
      <w:tr>
        <w:trPr>
          <w:trHeight w:val="169"/>
        </w:trPr>
        <w:tc>
          <w:tcPr>
            <w:tcW w:w="98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2020</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2019</w:t>
            </w:r>
          </w:p>
        </w:tc>
      </w:tr>
      <w:tr>
        <w:trPr>
          <w:trHeight w:val="160"/>
        </w:trPr>
        <w:tc>
          <w:tcPr>
            <w:tcW w:w="980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9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0" w:type="dxa"/>
            <w:vAlign w:val="bottom"/>
          </w:tcPr>
          <w:p>
            <w:pPr>
              <w:spacing w:after="0"/>
              <w:rPr>
                <w:sz w:val="11"/>
                <w:szCs w:val="11"/>
                <w:color w:val="auto"/>
              </w:rPr>
            </w:pPr>
          </w:p>
        </w:tc>
        <w:tc>
          <w:tcPr>
            <w:tcW w:w="49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Goodwill</w:t>
            </w:r>
          </w:p>
        </w:tc>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6"/>
        </w:trPr>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5"/>
        </w:trPr>
        <w:tc>
          <w:tcPr>
            <w:tcW w:w="40" w:type="dxa"/>
            <w:vAlign w:val="bottom"/>
            <w:tcBorders>
              <w:bottom w:val="single" w:sz="8" w:color="auto"/>
            </w:tcBorders>
            <w:shd w:val="clear" w:color="auto" w:fill="CCEEFF"/>
          </w:tcPr>
          <w:p>
            <w:pPr>
              <w:spacing w:after="0"/>
              <w:rPr>
                <w:sz w:val="15"/>
                <w:szCs w:val="15"/>
                <w:color w:val="auto"/>
              </w:rPr>
            </w:pPr>
          </w:p>
        </w:tc>
        <w:tc>
          <w:tcPr>
            <w:tcW w:w="49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Clinical research</w:t>
            </w:r>
          </w:p>
        </w:tc>
        <w:tc>
          <w:tcPr>
            <w:tcW w:w="4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950,267</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897,179</w:t>
            </w:r>
          </w:p>
        </w:tc>
      </w:tr>
      <w:tr>
        <w:trPr>
          <w:trHeight w:val="182"/>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1"/>
        </w:trPr>
        <w:tc>
          <w:tcPr>
            <w:tcW w:w="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4400" w:type="dxa"/>
            <w:vAlign w:val="bottom"/>
            <w:tcBorders>
              <w:bottom w:val="single" w:sz="8" w:color="auto"/>
            </w:tcBorders>
            <w:shd w:val="clear" w:color="auto" w:fill="CCEEFF"/>
          </w:tcPr>
          <w:p>
            <w:pPr>
              <w:spacing w:after="0"/>
              <w:rPr>
                <w:sz w:val="14"/>
                <w:szCs w:val="14"/>
                <w:color w:val="auto"/>
              </w:rPr>
            </w:pPr>
          </w:p>
        </w:tc>
        <w:tc>
          <w:tcPr>
            <w:tcW w:w="4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950,267</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897,179</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testing methodology and results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Goodwill is subject to impairment testing on an annual basis or more frequently if facts or circumstances warrant such a review.</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recoverable amount of the CGU is determined using a value-in-use computation based upon discounted net present value cash flow projections for the CGU. The cash flow projections are for a period of five years forward together with a terminal value calculated in accordance with the Gordon growth model. In calculating the terminal value a long-term growth rate of 2% has been applied to the estimated maintainable cash flow in the terminal year.</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applied in determining the five year projected cash flows of the Clinical Research CGU at 31 December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shd w:val="clear" w:color="auto" w:fill="CCEEFF"/>
          </w:tcPr>
          <w:p>
            <w:pPr>
              <w:spacing w:after="0"/>
              <w:rPr>
                <w:sz w:val="12"/>
                <w:szCs w:val="12"/>
                <w:color w:val="auto"/>
              </w:rPr>
            </w:pPr>
          </w:p>
        </w:tc>
        <w:tc>
          <w:tcPr>
            <w:tcW w:w="444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r>
      <w:tr>
        <w:trPr>
          <w:trHeight w:val="169"/>
        </w:trPr>
        <w:tc>
          <w:tcPr>
            <w:tcW w:w="5660" w:type="dxa"/>
            <w:vAlign w:val="bottom"/>
            <w:tcBorders>
              <w:bottom w:val="single" w:sz="8" w:color="auto"/>
            </w:tcBorders>
            <w:shd w:val="clear" w:color="auto" w:fill="CCEEFF"/>
          </w:tcPr>
          <w:p>
            <w:pPr>
              <w:spacing w:after="0"/>
              <w:rPr>
                <w:sz w:val="14"/>
                <w:szCs w:val="14"/>
                <w:color w:val="auto"/>
              </w:rPr>
            </w:pPr>
          </w:p>
        </w:tc>
        <w:tc>
          <w:tcPr>
            <w:tcW w:w="4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2019</w:t>
            </w:r>
          </w:p>
        </w:tc>
      </w:tr>
      <w:tr>
        <w:trPr>
          <w:trHeight w:val="160"/>
        </w:trPr>
        <w:tc>
          <w:tcPr>
            <w:tcW w:w="5660" w:type="dxa"/>
            <w:vAlign w:val="bottom"/>
          </w:tcPr>
          <w:p>
            <w:pPr>
              <w:ind w:left="60"/>
              <w:spacing w:after="0"/>
              <w:rPr>
                <w:sz w:val="20"/>
                <w:szCs w:val="20"/>
                <w:color w:val="auto"/>
              </w:rPr>
            </w:pPr>
            <w:r>
              <w:rPr>
                <w:rFonts w:ascii="Arial" w:cs="Arial" w:eastAsia="Arial" w:hAnsi="Arial"/>
                <w:sz w:val="13"/>
                <w:szCs w:val="13"/>
                <w:color w:val="auto"/>
              </w:rPr>
              <w:t>Expected revenue growth rate</w:t>
            </w:r>
          </w:p>
        </w:tc>
        <w:tc>
          <w:tcPr>
            <w:tcW w:w="4440" w:type="dxa"/>
            <w:vAlign w:val="bottom"/>
          </w:tcPr>
          <w:p>
            <w:pPr>
              <w:jc w:val="right"/>
              <w:ind w:right="336"/>
              <w:spacing w:after="0"/>
              <w:rPr>
                <w:sz w:val="20"/>
                <w:szCs w:val="20"/>
                <w:color w:val="auto"/>
              </w:rPr>
            </w:pPr>
            <w:r>
              <w:rPr>
                <w:rFonts w:ascii="Arial" w:cs="Arial" w:eastAsia="Arial" w:hAnsi="Arial"/>
                <w:sz w:val="13"/>
                <w:szCs w:val="13"/>
                <w:b w:val="1"/>
                <w:bCs w:val="1"/>
                <w:color w:val="auto"/>
              </w:rPr>
              <w:t>6%</w:t>
            </w: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6%</w:t>
            </w:r>
          </w:p>
        </w:tc>
      </w:tr>
      <w:tr>
        <w:trPr>
          <w:trHeight w:val="170"/>
        </w:trPr>
        <w:tc>
          <w:tcPr>
            <w:tcW w:w="5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growth rate for operating costs</w:t>
            </w:r>
          </w:p>
        </w:tc>
        <w:tc>
          <w:tcPr>
            <w:tcW w:w="44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5.5%</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w:t>
            </w:r>
          </w:p>
        </w:tc>
      </w:tr>
      <w:tr>
        <w:trPr>
          <w:trHeight w:val="169"/>
        </w:trPr>
        <w:tc>
          <w:tcPr>
            <w:tcW w:w="5660" w:type="dxa"/>
            <w:vAlign w:val="bottom"/>
          </w:tcPr>
          <w:p>
            <w:pPr>
              <w:ind w:left="60"/>
              <w:spacing w:after="0"/>
              <w:rPr>
                <w:sz w:val="20"/>
                <w:szCs w:val="20"/>
                <w:color w:val="auto"/>
              </w:rPr>
            </w:pPr>
            <w:r>
              <w:rPr>
                <w:rFonts w:ascii="Arial" w:cs="Arial" w:eastAsia="Arial" w:hAnsi="Arial"/>
                <w:sz w:val="13"/>
                <w:szCs w:val="13"/>
                <w:color w:val="auto"/>
              </w:rPr>
              <w:t>Expected effective tax rate</w:t>
            </w:r>
          </w:p>
        </w:tc>
        <w:tc>
          <w:tcPr>
            <w:tcW w:w="4440" w:type="dxa"/>
            <w:vAlign w:val="bottom"/>
          </w:tcPr>
          <w:p>
            <w:pPr>
              <w:jc w:val="right"/>
              <w:ind w:right="336"/>
              <w:spacing w:after="0"/>
              <w:rPr>
                <w:sz w:val="20"/>
                <w:szCs w:val="20"/>
                <w:color w:val="auto"/>
              </w:rPr>
            </w:pPr>
            <w:r>
              <w:rPr>
                <w:rFonts w:ascii="Arial" w:cs="Arial" w:eastAsia="Arial" w:hAnsi="Arial"/>
                <w:sz w:val="13"/>
                <w:szCs w:val="13"/>
                <w:b w:val="1"/>
                <w:bCs w:val="1"/>
                <w:color w:val="auto"/>
              </w:rPr>
              <w:t>13%</w:t>
            </w: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14%</w:t>
            </w:r>
          </w:p>
        </w:tc>
      </w:tr>
      <w:tr>
        <w:trPr>
          <w:trHeight w:val="170"/>
        </w:trPr>
        <w:tc>
          <w:tcPr>
            <w:tcW w:w="5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movement in creditors</w:t>
            </w:r>
          </w:p>
        </w:tc>
        <w:tc>
          <w:tcPr>
            <w:tcW w:w="44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5.5%</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w:t>
            </w:r>
          </w:p>
        </w:tc>
      </w:tr>
      <w:tr>
        <w:trPr>
          <w:trHeight w:val="169"/>
        </w:trPr>
        <w:tc>
          <w:tcPr>
            <w:tcW w:w="5660" w:type="dxa"/>
            <w:vAlign w:val="bottom"/>
          </w:tcPr>
          <w:p>
            <w:pPr>
              <w:ind w:left="60"/>
              <w:spacing w:after="0"/>
              <w:rPr>
                <w:sz w:val="20"/>
                <w:szCs w:val="20"/>
                <w:color w:val="auto"/>
              </w:rPr>
            </w:pPr>
            <w:r>
              <w:rPr>
                <w:rFonts w:ascii="Arial" w:cs="Arial" w:eastAsia="Arial" w:hAnsi="Arial"/>
                <w:sz w:val="13"/>
                <w:szCs w:val="13"/>
                <w:color w:val="auto"/>
              </w:rPr>
              <w:t>Expected days sales outstanding*</w:t>
            </w:r>
          </w:p>
        </w:tc>
        <w:tc>
          <w:tcPr>
            <w:tcW w:w="4440" w:type="dxa"/>
            <w:vAlign w:val="bottom"/>
          </w:tcPr>
          <w:p>
            <w:pPr>
              <w:jc w:val="right"/>
              <w:ind w:right="336"/>
              <w:spacing w:after="0"/>
              <w:rPr>
                <w:sz w:val="20"/>
                <w:szCs w:val="20"/>
                <w:color w:val="auto"/>
              </w:rPr>
            </w:pPr>
            <w:r>
              <w:rPr>
                <w:rFonts w:ascii="Arial" w:cs="Arial" w:eastAsia="Arial" w:hAnsi="Arial"/>
                <w:sz w:val="13"/>
                <w:szCs w:val="13"/>
                <w:b w:val="1"/>
                <w:bCs w:val="1"/>
                <w:color w:val="auto"/>
              </w:rPr>
              <w:t>57 days</w:t>
            </w: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72 days</w:t>
            </w:r>
          </w:p>
        </w:tc>
      </w:tr>
      <w:tr>
        <w:trPr>
          <w:trHeight w:val="170"/>
        </w:trPr>
        <w:tc>
          <w:tcPr>
            <w:tcW w:w="5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capital expenditure growth rate</w:t>
            </w:r>
          </w:p>
        </w:tc>
        <w:tc>
          <w:tcPr>
            <w:tcW w:w="44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w:t>
            </w:r>
          </w:p>
        </w:tc>
      </w:tr>
      <w:tr>
        <w:trPr>
          <w:trHeight w:val="171"/>
        </w:trPr>
        <w:tc>
          <w:tcPr>
            <w:tcW w:w="56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Discount rate</w:t>
            </w:r>
          </w:p>
        </w:tc>
        <w:tc>
          <w:tcPr>
            <w:tcW w:w="44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7.7%</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6.3%</w:t>
            </w:r>
          </w:p>
        </w:tc>
      </w:tr>
    </w:tbl>
    <w:p>
      <w:pPr>
        <w:spacing w:after="0" w:line="140" w:lineRule="exact"/>
        <w:rPr>
          <w:sz w:val="20"/>
          <w:szCs w:val="20"/>
          <w:color w:val="auto"/>
        </w:rPr>
      </w:pPr>
    </w:p>
    <w:p>
      <w:pPr>
        <w:jc w:val="both"/>
        <w:spacing w:after="0" w:line="303" w:lineRule="auto"/>
        <w:rPr>
          <w:sz w:val="20"/>
          <w:szCs w:val="20"/>
          <w:color w:val="auto"/>
        </w:rPr>
      </w:pPr>
      <w:r>
        <w:rPr>
          <w:rFonts w:ascii="Arial" w:cs="Arial" w:eastAsia="Arial" w:hAnsi="Arial"/>
          <w:sz w:val="11"/>
          <w:szCs w:val="11"/>
          <w:i w:val="1"/>
          <w:iCs w:val="1"/>
          <w:color w:val="auto"/>
        </w:rPr>
        <w:t>*Days sales outstanding (DSO) is a a measure of the number of days in the period that the company takes to collect revenue. DSO is calculated based on trade debtors less unearned revenue divided by gross revenue multiplied by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80"/>
          </w:cols>
          <w:pgMar w:left="300" w:top="696" w:right="3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Expected revenue growth and the expected growth in operating costs are determined based upon the expected growth rates used in preparing the Group’s budgets and strategic plans. In estimating budget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long-term average tax rate of 13% has been applied in determining the projected after tax cash flows.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DSO used in conducting the impairment review is reflective of current and anticipated trends in the Group’s DSO. Expected long-term DSOs for the Group are anticipated to be in the range of 55 to 65 days. Creditors are expected to increase in line with operating costs. Capital expenditure is expected to increase in line with the Group’s projected capital expenditure investment targets.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A pre-tax discount rate of 7.7% (2019: 6.3%) has been applied to the projected cash flows of the CGU in determining its value-in-use. This rate is reflective of both the time value of money and risks specific to the CGU. The discount rate is based upon the Group’s weighted average cost of capital which has been determined by applying the Group’s long-term optimal capital structure to its costs of debt and cost of equity. The Group’s cost of debt has been calculated by applying an appropriate margin over the risk-free interest rate. The Group’s cost of equity has been calculated using the capital asset pricing model and includes an appropriate equity risk premium over the available risk-free interest rate.</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excess of the value-in-use of the CGU at 31 December 2020, based on the assumptions above, has been calculated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shd w:val="clear" w:color="auto" w:fill="CCEEFF"/>
          </w:tcPr>
          <w:p>
            <w:pPr>
              <w:spacing w:after="0"/>
              <w:rPr>
                <w:sz w:val="13"/>
                <w:szCs w:val="13"/>
                <w:color w:val="auto"/>
              </w:rPr>
            </w:pPr>
          </w:p>
        </w:tc>
        <w:tc>
          <w:tcPr>
            <w:tcW w:w="34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31 December</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r>
      <w:tr>
        <w:trPr>
          <w:trHeight w:val="169"/>
        </w:trPr>
        <w:tc>
          <w:tcPr>
            <w:tcW w:w="5240" w:type="dxa"/>
            <w:vAlign w:val="bottom"/>
            <w:tcBorders>
              <w:bottom w:val="single" w:sz="8" w:color="auto"/>
            </w:tcBorders>
            <w:shd w:val="clear" w:color="auto" w:fill="CCEEFF"/>
          </w:tcPr>
          <w:p>
            <w:pPr>
              <w:spacing w:after="0"/>
              <w:rPr>
                <w:sz w:val="14"/>
                <w:szCs w:val="14"/>
                <w:color w:val="auto"/>
              </w:rPr>
            </w:pPr>
          </w:p>
        </w:tc>
        <w:tc>
          <w:tcPr>
            <w:tcW w:w="34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2019</w:t>
            </w:r>
          </w:p>
        </w:tc>
      </w:tr>
      <w:tr>
        <w:trPr>
          <w:trHeight w:val="160"/>
        </w:trPr>
        <w:tc>
          <w:tcPr>
            <w:tcW w:w="5240" w:type="dxa"/>
            <w:vAlign w:val="bottom"/>
          </w:tcPr>
          <w:p>
            <w:pPr>
              <w:spacing w:after="0"/>
              <w:rPr>
                <w:sz w:val="13"/>
                <w:szCs w:val="13"/>
                <w:color w:val="auto"/>
              </w:rPr>
            </w:pPr>
          </w:p>
        </w:tc>
        <w:tc>
          <w:tcPr>
            <w:tcW w:w="3480" w:type="dxa"/>
            <w:vAlign w:val="bottom"/>
          </w:tcPr>
          <w:p>
            <w:pPr>
              <w:jc w:val="right"/>
              <w:ind w:right="176"/>
              <w:spacing w:after="0"/>
              <w:rPr>
                <w:sz w:val="20"/>
                <w:szCs w:val="20"/>
                <w:color w:val="auto"/>
              </w:rPr>
            </w:pPr>
            <w:r>
              <w:rPr>
                <w:rFonts w:ascii="Arial" w:cs="Arial" w:eastAsia="Arial" w:hAnsi="Arial"/>
                <w:sz w:val="13"/>
                <w:szCs w:val="13"/>
                <w:b w:val="1"/>
                <w:bCs w:val="1"/>
                <w:color w:val="auto"/>
              </w:rPr>
              <w:t>$’m</w:t>
            </w:r>
          </w:p>
        </w:tc>
        <w:tc>
          <w:tcPr>
            <w:tcW w:w="1080" w:type="dxa"/>
            <w:vAlign w:val="bottom"/>
          </w:tcPr>
          <w:p>
            <w:pPr>
              <w:jc w:val="right"/>
              <w:spacing w:after="0"/>
              <w:rPr>
                <w:sz w:val="20"/>
                <w:szCs w:val="20"/>
                <w:color w:val="auto"/>
              </w:rPr>
            </w:pPr>
            <w:r>
              <w:rPr>
                <w:rFonts w:ascii="Arial" w:cs="Arial" w:eastAsia="Arial" w:hAnsi="Arial"/>
                <w:sz w:val="13"/>
                <w:szCs w:val="13"/>
                <w:color w:val="auto"/>
              </w:rPr>
              <w:t>$’m</w:t>
            </w:r>
          </w:p>
        </w:tc>
      </w:tr>
      <w:tr>
        <w:trPr>
          <w:trHeight w:val="202"/>
        </w:trPr>
        <w:tc>
          <w:tcPr>
            <w:tcW w:w="524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40" w:type="dxa"/>
            <w:vAlign w:val="bottom"/>
          </w:tcPr>
          <w:p>
            <w:pPr>
              <w:ind w:left="60"/>
              <w:spacing w:after="0"/>
              <w:rPr>
                <w:sz w:val="20"/>
                <w:szCs w:val="20"/>
                <w:color w:val="auto"/>
              </w:rPr>
            </w:pPr>
            <w:r>
              <w:rPr>
                <w:rFonts w:ascii="Arial" w:cs="Arial" w:eastAsia="Arial" w:hAnsi="Arial"/>
                <w:sz w:val="13"/>
                <w:szCs w:val="13"/>
                <w:color w:val="auto"/>
              </w:rPr>
              <w:t>Value-in use (present value of future cash flows)</w:t>
            </w:r>
          </w:p>
        </w:tc>
        <w:tc>
          <w:tcPr>
            <w:tcW w:w="3480" w:type="dxa"/>
            <w:vAlign w:val="bottom"/>
          </w:tcPr>
          <w:p>
            <w:pPr>
              <w:jc w:val="right"/>
              <w:ind w:right="216"/>
              <w:spacing w:after="0"/>
              <w:rPr>
                <w:sz w:val="20"/>
                <w:szCs w:val="20"/>
                <w:color w:val="auto"/>
              </w:rPr>
            </w:pPr>
            <w:r>
              <w:rPr>
                <w:rFonts w:ascii="Arial" w:cs="Arial" w:eastAsia="Arial" w:hAnsi="Arial"/>
                <w:sz w:val="13"/>
                <w:szCs w:val="13"/>
                <w:b w:val="1"/>
                <w:bCs w:val="1"/>
                <w:color w:val="auto"/>
              </w:rPr>
              <w:t>9,356</w:t>
            </w:r>
          </w:p>
        </w:tc>
        <w:tc>
          <w:tcPr>
            <w:tcW w:w="1080" w:type="dxa"/>
            <w:vAlign w:val="bottom"/>
          </w:tcPr>
          <w:p>
            <w:pPr>
              <w:jc w:val="right"/>
              <w:spacing w:after="0"/>
              <w:rPr>
                <w:sz w:val="20"/>
                <w:szCs w:val="20"/>
                <w:color w:val="auto"/>
              </w:rPr>
            </w:pPr>
            <w:r>
              <w:rPr>
                <w:rFonts w:ascii="Arial" w:cs="Arial" w:eastAsia="Arial" w:hAnsi="Arial"/>
                <w:sz w:val="13"/>
                <w:szCs w:val="13"/>
                <w:color w:val="auto"/>
              </w:rPr>
              <w:t>12,145</w:t>
            </w:r>
          </w:p>
        </w:tc>
      </w:tr>
      <w:tr>
        <w:trPr>
          <w:trHeight w:val="172"/>
        </w:trPr>
        <w:tc>
          <w:tcPr>
            <w:tcW w:w="5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Carrying amount of the Clinical Research CGU</w:t>
            </w:r>
          </w:p>
        </w:tc>
        <w:tc>
          <w:tcPr>
            <w:tcW w:w="34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(2,229)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(2,038)</w:t>
            </w:r>
          </w:p>
        </w:tc>
      </w:tr>
      <w:tr>
        <w:trPr>
          <w:trHeight w:val="182"/>
        </w:trPr>
        <w:tc>
          <w:tcPr>
            <w:tcW w:w="52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2"/>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Excess of value-in-use over carrying value</w:t>
            </w:r>
          </w:p>
        </w:tc>
        <w:tc>
          <w:tcPr>
            <w:tcW w:w="34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7,127</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10,107</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Analysis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A sensitivity analysis to determine if reasonable changes in key assumptions could lead to an impairment was conducted at 31 December 2020 using the following revised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shd w:val="clear" w:color="auto" w:fill="CCEEFF"/>
          </w:tcPr>
          <w:p>
            <w:pPr>
              <w:spacing w:after="0"/>
              <w:rPr>
                <w:sz w:val="12"/>
                <w:szCs w:val="12"/>
                <w:color w:val="auto"/>
              </w:rPr>
            </w:pPr>
          </w:p>
        </w:tc>
        <w:tc>
          <w:tcPr>
            <w:tcW w:w="44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r>
      <w:tr>
        <w:trPr>
          <w:trHeight w:val="169"/>
        </w:trPr>
        <w:tc>
          <w:tcPr>
            <w:tcW w:w="5620" w:type="dxa"/>
            <w:vAlign w:val="bottom"/>
            <w:tcBorders>
              <w:bottom w:val="single" w:sz="8" w:color="auto"/>
            </w:tcBorders>
            <w:shd w:val="clear" w:color="auto" w:fill="CCEEFF"/>
          </w:tcPr>
          <w:p>
            <w:pPr>
              <w:spacing w:after="0"/>
              <w:rPr>
                <w:sz w:val="14"/>
                <w:szCs w:val="14"/>
                <w:color w:val="auto"/>
              </w:rPr>
            </w:pPr>
          </w:p>
        </w:tc>
        <w:tc>
          <w:tcPr>
            <w:tcW w:w="44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2020</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2019</w:t>
            </w:r>
          </w:p>
        </w:tc>
      </w:tr>
      <w:tr>
        <w:trPr>
          <w:trHeight w:val="160"/>
        </w:trPr>
        <w:tc>
          <w:tcPr>
            <w:tcW w:w="5620" w:type="dxa"/>
            <w:vAlign w:val="bottom"/>
          </w:tcPr>
          <w:p>
            <w:pPr>
              <w:ind w:left="60"/>
              <w:spacing w:after="0"/>
              <w:rPr>
                <w:sz w:val="20"/>
                <w:szCs w:val="20"/>
                <w:color w:val="auto"/>
              </w:rPr>
            </w:pPr>
            <w:r>
              <w:rPr>
                <w:rFonts w:ascii="Arial" w:cs="Arial" w:eastAsia="Arial" w:hAnsi="Arial"/>
                <w:sz w:val="13"/>
                <w:szCs w:val="13"/>
                <w:color w:val="auto"/>
              </w:rPr>
              <w:t>Expected revenue growth rate</w:t>
            </w:r>
          </w:p>
        </w:tc>
        <w:tc>
          <w:tcPr>
            <w:tcW w:w="4440" w:type="dxa"/>
            <w:vAlign w:val="bottom"/>
          </w:tcPr>
          <w:p>
            <w:pPr>
              <w:jc w:val="right"/>
              <w:ind w:right="316"/>
              <w:spacing w:after="0"/>
              <w:rPr>
                <w:sz w:val="20"/>
                <w:szCs w:val="20"/>
                <w:color w:val="auto"/>
              </w:rPr>
            </w:pPr>
            <w:r>
              <w:rPr>
                <w:rFonts w:ascii="Arial" w:cs="Arial" w:eastAsia="Arial" w:hAnsi="Arial"/>
                <w:sz w:val="13"/>
                <w:szCs w:val="13"/>
                <w:b w:val="1"/>
                <w:bCs w:val="1"/>
                <w:color w:val="auto"/>
              </w:rPr>
              <w:t>4 %</w:t>
            </w:r>
          </w:p>
        </w:tc>
        <w:tc>
          <w:tcPr>
            <w:tcW w:w="122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170"/>
        </w:trPr>
        <w:tc>
          <w:tcPr>
            <w:tcW w:w="5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growth rate for operating costs</w:t>
            </w:r>
          </w:p>
        </w:tc>
        <w:tc>
          <w:tcPr>
            <w:tcW w:w="44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3.5 %</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w:t>
            </w:r>
          </w:p>
        </w:tc>
      </w:tr>
      <w:tr>
        <w:trPr>
          <w:trHeight w:val="169"/>
        </w:trPr>
        <w:tc>
          <w:tcPr>
            <w:tcW w:w="5620" w:type="dxa"/>
            <w:vAlign w:val="bottom"/>
          </w:tcPr>
          <w:p>
            <w:pPr>
              <w:ind w:left="60"/>
              <w:spacing w:after="0"/>
              <w:rPr>
                <w:sz w:val="20"/>
                <w:szCs w:val="20"/>
                <w:color w:val="auto"/>
              </w:rPr>
            </w:pPr>
            <w:r>
              <w:rPr>
                <w:rFonts w:ascii="Arial" w:cs="Arial" w:eastAsia="Arial" w:hAnsi="Arial"/>
                <w:sz w:val="13"/>
                <w:szCs w:val="13"/>
                <w:color w:val="auto"/>
              </w:rPr>
              <w:t>Expected capital expenditure growth rate</w:t>
            </w:r>
          </w:p>
        </w:tc>
        <w:tc>
          <w:tcPr>
            <w:tcW w:w="4440" w:type="dxa"/>
            <w:vAlign w:val="bottom"/>
          </w:tcPr>
          <w:p>
            <w:pPr>
              <w:jc w:val="right"/>
              <w:ind w:right="316"/>
              <w:spacing w:after="0"/>
              <w:rPr>
                <w:sz w:val="20"/>
                <w:szCs w:val="20"/>
                <w:color w:val="auto"/>
              </w:rPr>
            </w:pPr>
            <w:r>
              <w:rPr>
                <w:rFonts w:ascii="Arial" w:cs="Arial" w:eastAsia="Arial" w:hAnsi="Arial"/>
                <w:sz w:val="13"/>
                <w:szCs w:val="13"/>
                <w:b w:val="1"/>
                <w:bCs w:val="1"/>
                <w:color w:val="auto"/>
              </w:rPr>
              <w:t>1 %</w:t>
            </w:r>
          </w:p>
        </w:tc>
        <w:tc>
          <w:tcPr>
            <w:tcW w:w="122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171"/>
        </w:trPr>
        <w:tc>
          <w:tcPr>
            <w:tcW w:w="5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Discount rate</w:t>
            </w:r>
          </w:p>
        </w:tc>
        <w:tc>
          <w:tcPr>
            <w:tcW w:w="44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10.7 %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9.3 %</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*All other inputs remained constant.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300" w:top="696"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13.</w:t>
      </w:r>
      <w:r>
        <w:rPr>
          <w:sz w:val="20"/>
          <w:szCs w:val="20"/>
          <w:color w:val="auto"/>
        </w:rPr>
        <w:tab/>
      </w:r>
      <w:r>
        <w:rPr>
          <w:rFonts w:ascii="Arial" w:cs="Arial" w:eastAsia="Arial" w:hAnsi="Arial"/>
          <w:sz w:val="12"/>
          <w:szCs w:val="12"/>
          <w:b w:val="1"/>
          <w:bCs w:val="1"/>
          <w:color w:val="auto"/>
        </w:rPr>
        <w:t xml:space="preserve">Intangible assets - goodwill and other </w:t>
      </w:r>
      <w:r>
        <w:rPr>
          <w:rFonts w:ascii="Arial" w:cs="Arial" w:eastAsia="Arial" w:hAnsi="Arial"/>
          <w:sz w:val="12"/>
          <w:szCs w:val="12"/>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The revised excess of the value-in-use of the CGU at 31 December 2020, using the alternative assumptions above, has been calculated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shd w:val="clear" w:color="auto" w:fill="CCEEFF"/>
          </w:tcPr>
          <w:p>
            <w:pPr>
              <w:spacing w:after="0"/>
              <w:rPr>
                <w:sz w:val="13"/>
                <w:szCs w:val="13"/>
                <w:color w:val="auto"/>
              </w:rPr>
            </w:pPr>
          </w:p>
        </w:tc>
        <w:tc>
          <w:tcPr>
            <w:tcW w:w="40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r>
      <w:tr>
        <w:trPr>
          <w:trHeight w:val="169"/>
        </w:trPr>
        <w:tc>
          <w:tcPr>
            <w:tcW w:w="6100" w:type="dxa"/>
            <w:vAlign w:val="bottom"/>
            <w:tcBorders>
              <w:bottom w:val="single" w:sz="8" w:color="auto"/>
            </w:tcBorders>
            <w:shd w:val="clear" w:color="auto" w:fill="CCEEFF"/>
          </w:tcPr>
          <w:p>
            <w:pPr>
              <w:spacing w:after="0"/>
              <w:rPr>
                <w:sz w:val="14"/>
                <w:szCs w:val="14"/>
                <w:color w:val="auto"/>
              </w:rPr>
            </w:pPr>
          </w:p>
        </w:tc>
        <w:tc>
          <w:tcPr>
            <w:tcW w:w="40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2019</w:t>
            </w:r>
          </w:p>
        </w:tc>
      </w:tr>
      <w:tr>
        <w:trPr>
          <w:trHeight w:val="160"/>
        </w:trPr>
        <w:tc>
          <w:tcPr>
            <w:tcW w:w="6100" w:type="dxa"/>
            <w:vAlign w:val="bottom"/>
          </w:tcPr>
          <w:p>
            <w:pPr>
              <w:spacing w:after="0"/>
              <w:rPr>
                <w:sz w:val="13"/>
                <w:szCs w:val="13"/>
                <w:color w:val="auto"/>
              </w:rPr>
            </w:pPr>
          </w:p>
        </w:tc>
        <w:tc>
          <w:tcPr>
            <w:tcW w:w="4000" w:type="dxa"/>
            <w:vAlign w:val="bottom"/>
          </w:tcPr>
          <w:p>
            <w:pPr>
              <w:jc w:val="right"/>
              <w:ind w:right="256"/>
              <w:spacing w:after="0"/>
              <w:rPr>
                <w:sz w:val="20"/>
                <w:szCs w:val="20"/>
                <w:color w:val="auto"/>
              </w:rPr>
            </w:pPr>
            <w:r>
              <w:rPr>
                <w:rFonts w:ascii="Arial" w:cs="Arial" w:eastAsia="Arial" w:hAnsi="Arial"/>
                <w:sz w:val="13"/>
                <w:szCs w:val="13"/>
                <w:b w:val="1"/>
                <w:bCs w:val="1"/>
                <w:color w:val="auto"/>
              </w:rPr>
              <w:t>$’m</w:t>
            </w:r>
          </w:p>
        </w:tc>
        <w:tc>
          <w:tcPr>
            <w:tcW w:w="1180" w:type="dxa"/>
            <w:vAlign w:val="bottom"/>
          </w:tcPr>
          <w:p>
            <w:pPr>
              <w:jc w:val="right"/>
              <w:spacing w:after="0"/>
              <w:rPr>
                <w:sz w:val="20"/>
                <w:szCs w:val="20"/>
                <w:color w:val="auto"/>
              </w:rPr>
            </w:pPr>
            <w:r>
              <w:rPr>
                <w:rFonts w:ascii="Arial" w:cs="Arial" w:eastAsia="Arial" w:hAnsi="Arial"/>
                <w:sz w:val="13"/>
                <w:szCs w:val="13"/>
                <w:color w:val="auto"/>
              </w:rPr>
              <w:t>$’m</w:t>
            </w:r>
          </w:p>
        </w:tc>
      </w:tr>
      <w:tr>
        <w:trPr>
          <w:trHeight w:val="202"/>
        </w:trPr>
        <w:tc>
          <w:tcPr>
            <w:tcW w:w="610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9"/>
        </w:trPr>
        <w:tc>
          <w:tcPr>
            <w:tcW w:w="6100" w:type="dxa"/>
            <w:vAlign w:val="bottom"/>
          </w:tcPr>
          <w:p>
            <w:pPr>
              <w:ind w:left="20"/>
              <w:spacing w:after="0"/>
              <w:rPr>
                <w:sz w:val="20"/>
                <w:szCs w:val="20"/>
                <w:color w:val="auto"/>
              </w:rPr>
            </w:pPr>
            <w:r>
              <w:rPr>
                <w:rFonts w:ascii="Arial" w:cs="Arial" w:eastAsia="Arial" w:hAnsi="Arial"/>
                <w:sz w:val="13"/>
                <w:szCs w:val="13"/>
                <w:color w:val="auto"/>
              </w:rPr>
              <w:t>Revised value-in use (present value of future cash flows)</w:t>
            </w:r>
          </w:p>
        </w:tc>
        <w:tc>
          <w:tcPr>
            <w:tcW w:w="4000" w:type="dxa"/>
            <w:vAlign w:val="bottom"/>
          </w:tcPr>
          <w:p>
            <w:pPr>
              <w:jc w:val="right"/>
              <w:ind w:right="296"/>
              <w:spacing w:after="0"/>
              <w:rPr>
                <w:sz w:val="20"/>
                <w:szCs w:val="20"/>
                <w:color w:val="auto"/>
              </w:rPr>
            </w:pPr>
            <w:r>
              <w:rPr>
                <w:rFonts w:ascii="Arial" w:cs="Arial" w:eastAsia="Arial" w:hAnsi="Arial"/>
                <w:sz w:val="13"/>
                <w:szCs w:val="13"/>
                <w:b w:val="1"/>
                <w:bCs w:val="1"/>
                <w:color w:val="auto"/>
              </w:rPr>
              <w:t>5,800</w:t>
            </w: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6,759</w:t>
            </w:r>
          </w:p>
        </w:tc>
      </w:tr>
      <w:tr>
        <w:trPr>
          <w:trHeight w:val="172"/>
        </w:trPr>
        <w:tc>
          <w:tcPr>
            <w:tcW w:w="6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Carrying amount of the Clinical Research CGU</w:t>
            </w:r>
          </w:p>
        </w:tc>
        <w:tc>
          <w:tcPr>
            <w:tcW w:w="40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(2,229)</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(2,038)</w:t>
            </w:r>
          </w:p>
        </w:tc>
      </w:tr>
      <w:tr>
        <w:trPr>
          <w:trHeight w:val="182"/>
        </w:trPr>
        <w:tc>
          <w:tcPr>
            <w:tcW w:w="61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2"/>
        </w:trPr>
        <w:tc>
          <w:tcPr>
            <w:tcW w:w="6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Revised excess of value-in-use over carrying value</w:t>
            </w:r>
          </w:p>
        </w:tc>
        <w:tc>
          <w:tcPr>
            <w:tcW w:w="40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3,571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4,721</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the excess of the recoverable amount over the carrying value of the cash generating unit was maintained despite changes in key assumptions, management have concluded that no reasonable change in key assumptions would result in an impairment of the CGU.</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300" w:top="696" w:right="3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Business combinations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acquisitions below have been accounted for as business combinations in accordance with the revised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w:t>
      </w:r>
    </w:p>
    <w:p>
      <w:pPr>
        <w:spacing w:after="0" w:line="202" w:lineRule="exact"/>
        <w:rPr>
          <w:sz w:val="20"/>
          <w:szCs w:val="20"/>
          <w:color w:val="auto"/>
        </w:rPr>
      </w:pPr>
    </w:p>
    <w:p>
      <w:pPr>
        <w:ind w:left="340" w:hanging="335"/>
        <w:spacing w:after="0"/>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Acquisition of MedPass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On 22 January 2020, a subsidiary of the Company, ICON Investments Limited acquired 100% of the equity share capital of the MedPass Group. MedPass is the leading European medical device CRO, regulatory and reimbursement consultancy, that specialises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Arial" w:cs="Arial" w:eastAsia="Arial" w:hAnsi="Arial"/>
          <w:sz w:val="14"/>
          <w:szCs w:val="14"/>
          <w:color w:val="auto"/>
        </w:rPr>
        <w:t>.</w:t>
      </w:r>
      <w:r>
        <w:rPr>
          <w:rFonts w:ascii="Arial" w:cs="Arial" w:eastAsia="Arial" w:hAnsi="Arial"/>
          <w:sz w:val="13"/>
          <w:szCs w:val="13"/>
          <w:color w:val="auto"/>
        </w:rPr>
        <w:t xml:space="preserve"> Accounting for the acquisition of MedPass was finalised in the year ended 31 December 2020.</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acquisition of MedPass has been accounted for as a business combination in accordance with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Company has made an assessment of the fair value of assets acquired and liabilities assumed as at that date.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January 22,</w:t>
            </w:r>
          </w:p>
        </w:tc>
      </w:tr>
      <w:tr>
        <w:trPr>
          <w:trHeight w:val="169"/>
        </w:trPr>
        <w:tc>
          <w:tcPr>
            <w:tcW w:w="594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61"/>
        </w:trPr>
        <w:tc>
          <w:tcPr>
            <w:tcW w:w="5940" w:type="dxa"/>
            <w:vAlign w:val="bottom"/>
            <w:shd w:val="clear" w:color="auto" w:fill="CCEEFF"/>
          </w:tcPr>
          <w:p>
            <w:pPr>
              <w:spacing w:after="0"/>
              <w:rPr>
                <w:sz w:val="13"/>
                <w:szCs w:val="13"/>
                <w:color w:val="auto"/>
              </w:rPr>
            </w:pPr>
          </w:p>
        </w:tc>
        <w:tc>
          <w:tcPr>
            <w:tcW w:w="4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Cash &amp; cash equivalents</w:t>
            </w:r>
          </w:p>
        </w:tc>
        <w:tc>
          <w:tcPr>
            <w:tcW w:w="414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10,170</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Operating right of use assets</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539</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27,191</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11,725</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Order backlog</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2,883</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Accounts receivable</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3,033</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Prepayments and other current assets</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(368)</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(2,202)</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lease liabilities</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(320)</w:t>
            </w:r>
          </w:p>
        </w:tc>
      </w:tr>
      <w:tr>
        <w:trPr>
          <w:trHeight w:val="17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deferred tax liability</w:t>
            </w:r>
          </w:p>
        </w:tc>
        <w:tc>
          <w:tcPr>
            <w:tcW w:w="4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(4,090)</w:t>
            </w:r>
          </w:p>
        </w:tc>
      </w:tr>
      <w:tr>
        <w:trPr>
          <w:trHeight w:val="117"/>
        </w:trPr>
        <w:tc>
          <w:tcPr>
            <w:tcW w:w="594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1"/>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assets acquired</w:t>
            </w:r>
          </w:p>
        </w:tc>
        <w:tc>
          <w:tcPr>
            <w:tcW w:w="41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47,556</w:t>
            </w:r>
          </w:p>
        </w:tc>
      </w:tr>
      <w:tr>
        <w:trPr>
          <w:trHeight w:val="149"/>
        </w:trPr>
        <w:tc>
          <w:tcPr>
            <w:tcW w:w="59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0"/>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outflows</w:t>
            </w:r>
          </w:p>
        </w:tc>
        <w:tc>
          <w:tcPr>
            <w:tcW w:w="41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46,992</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Working capital adjustment paid</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564</w:t>
            </w:r>
          </w:p>
        </w:tc>
      </w:tr>
      <w:tr>
        <w:trPr>
          <w:trHeight w:val="17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Contingent consideration **</w:t>
            </w:r>
          </w:p>
        </w:tc>
        <w:tc>
          <w:tcPr>
            <w:tcW w:w="4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59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1"/>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consideration</w:t>
            </w:r>
          </w:p>
        </w:tc>
        <w:tc>
          <w:tcPr>
            <w:tcW w:w="41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47,556</w:t>
            </w:r>
          </w:p>
        </w:tc>
      </w:tr>
    </w:tbl>
    <w:p>
      <w:pPr>
        <w:spacing w:after="0" w:line="171" w:lineRule="exact"/>
        <w:rPr>
          <w:sz w:val="20"/>
          <w:szCs w:val="20"/>
          <w:color w:val="auto"/>
        </w:rPr>
      </w:pPr>
    </w:p>
    <w:p>
      <w:pPr>
        <w:ind w:firstLine="5"/>
        <w:spacing w:after="0" w:line="244" w:lineRule="auto"/>
        <w:tabs>
          <w:tab w:leader="none" w:pos="91" w:val="left"/>
        </w:tabs>
        <w:numPr>
          <w:ilvl w:val="0"/>
          <w:numId w:val="94"/>
        </w:numPr>
        <w:rPr>
          <w:rFonts w:ascii="Arial" w:cs="Arial" w:eastAsia="Arial" w:hAnsi="Arial"/>
          <w:sz w:val="13"/>
          <w:szCs w:val="13"/>
          <w:color w:val="auto"/>
        </w:rPr>
      </w:pPr>
      <w:r>
        <w:rPr>
          <w:rFonts w:ascii="Arial" w:cs="Arial" w:eastAsia="Arial" w:hAnsi="Arial"/>
          <w:sz w:val="13"/>
          <w:szCs w:val="13"/>
          <w:color w:val="auto"/>
        </w:rPr>
        <w:t>Goodwill represents the acquisition of an established workforce that specialises in medical device development and market access. None of the goodwill recognised is expected to be deductible for income tax purposes.</w:t>
      </w:r>
    </w:p>
    <w:p>
      <w:pPr>
        <w:spacing w:after="0" w:line="36" w:lineRule="exact"/>
        <w:rPr>
          <w:sz w:val="20"/>
          <w:szCs w:val="20"/>
          <w:color w:val="auto"/>
        </w:rPr>
      </w:pPr>
    </w:p>
    <w:p>
      <w:pPr>
        <w:ind w:left="140" w:hanging="135"/>
        <w:spacing w:after="0"/>
        <w:tabs>
          <w:tab w:leader="none" w:pos="1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fair value of the contingent consideration was estimated at the date of acquisition. Depending on performance of the company, the total consideration could have increased by a maximum of ###</w:t>
      </w:r>
    </w:p>
    <w:p>
      <w:pPr>
        <w:spacing w:after="0" w:line="1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in contingent consideration. At the acquisition date and at 31 December 2020, the fair value of this contingent consideration payable to MedPass is $###.</w:t>
      </w:r>
    </w:p>
    <w:p>
      <w:pPr>
        <w:spacing w:after="0" w:line="27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finalising the acquisition of MedPass in the twelve month period from acquisition, fair value adjustments were made which resulted in an increase in accounts receivable ($0.2 million) and unearned revenue ($0.8 million) and a decrease in operating right of use assets ($0.8 million), other liabilities ($0.8 million), current lease liabilities ($0.1 million), non-current lease liabilities ($0.7 million) and non-current deferred tax liability ($0.6 million). Customer relationship and order backlog assets were also finalised.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696"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Since 22 January 2020, MedPass has earned revenue of $13.2 million and net income of $2.5 million in the year ended 31 December 2020. The proforma effect of the MedPass acquisition if completed on 1 January 2019 would have resulted in revenue and profit for the fiscal years ending 31 December 2020 and 31 December 2019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shd w:val="clear" w:color="auto" w:fill="CCEEFF"/>
          </w:tcPr>
          <w:p>
            <w:pPr>
              <w:spacing w:after="0"/>
              <w:rPr>
                <w:sz w:val="14"/>
                <w:szCs w:val="14"/>
                <w:color w:val="auto"/>
              </w:rPr>
            </w:pPr>
          </w:p>
        </w:tc>
        <w:tc>
          <w:tcPr>
            <w:tcW w:w="408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Year Ended</w:t>
            </w:r>
          </w:p>
        </w:tc>
        <w:tc>
          <w:tcPr>
            <w:tcW w:w="860" w:type="dxa"/>
            <w:vAlign w:val="bottom"/>
            <w:shd w:val="clear" w:color="auto" w:fill="CCEEFF"/>
          </w:tcPr>
          <w:p>
            <w:pPr>
              <w:spacing w:after="0"/>
              <w:rPr>
                <w:sz w:val="14"/>
                <w:szCs w:val="14"/>
                <w:color w:val="auto"/>
              </w:rPr>
            </w:pPr>
          </w:p>
        </w:tc>
      </w:tr>
      <w:tr>
        <w:trPr>
          <w:trHeight w:val="169"/>
        </w:trPr>
        <w:tc>
          <w:tcPr>
            <w:tcW w:w="454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61"/>
        </w:trPr>
        <w:tc>
          <w:tcPr>
            <w:tcW w:w="4540" w:type="dxa"/>
            <w:vAlign w:val="bottom"/>
            <w:shd w:val="clear" w:color="auto" w:fill="CCEEFF"/>
          </w:tcPr>
          <w:p>
            <w:pPr>
              <w:spacing w:after="0"/>
              <w:rPr>
                <w:sz w:val="13"/>
                <w:szCs w:val="13"/>
                <w:color w:val="auto"/>
              </w:rPr>
            </w:pPr>
          </w:p>
        </w:tc>
        <w:tc>
          <w:tcPr>
            <w:tcW w:w="4080" w:type="dxa"/>
            <w:vAlign w:val="bottom"/>
            <w:shd w:val="clear" w:color="auto" w:fill="CCEEFF"/>
          </w:tcPr>
          <w:p>
            <w:pPr>
              <w:spacing w:after="0"/>
              <w:rPr>
                <w:sz w:val="13"/>
                <w:szCs w:val="13"/>
                <w:color w:val="auto"/>
              </w:rPr>
            </w:pPr>
          </w:p>
        </w:tc>
        <w:tc>
          <w:tcPr>
            <w:tcW w:w="178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(in thousands)</w:t>
            </w:r>
          </w:p>
        </w:tc>
        <w:tc>
          <w:tcPr>
            <w:tcW w:w="860" w:type="dxa"/>
            <w:vAlign w:val="bottom"/>
            <w:shd w:val="clear" w:color="auto" w:fill="CCEEFF"/>
          </w:tcPr>
          <w:p>
            <w:pPr>
              <w:spacing w:after="0"/>
              <w:rPr>
                <w:sz w:val="13"/>
                <w:szCs w:val="13"/>
                <w:color w:val="auto"/>
              </w:rPr>
            </w:pPr>
          </w:p>
        </w:tc>
      </w:tr>
      <w:tr>
        <w:trPr>
          <w:trHeight w:val="170"/>
        </w:trPr>
        <w:tc>
          <w:tcPr>
            <w:tcW w:w="45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40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2,798,180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2,820,796</w:t>
            </w:r>
          </w:p>
        </w:tc>
      </w:tr>
      <w:tr>
        <w:trPr>
          <w:trHeight w:val="159"/>
        </w:trPr>
        <w:tc>
          <w:tcPr>
            <w:tcW w:w="45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1"/>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Profit for the year</w:t>
            </w:r>
          </w:p>
        </w:tc>
        <w:tc>
          <w:tcPr>
            <w:tcW w:w="40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331,615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364,532</w:t>
            </w:r>
          </w:p>
        </w:tc>
      </w:tr>
    </w:tbl>
    <w:p>
      <w:pPr>
        <w:spacing w:after="0" w:line="255" w:lineRule="exact"/>
        <w:rPr>
          <w:sz w:val="20"/>
          <w:szCs w:val="20"/>
          <w:color w:val="auto"/>
        </w:rPr>
      </w:pPr>
    </w:p>
    <w:p>
      <w:pPr>
        <w:ind w:left="340" w:hanging="335"/>
        <w:spacing w:after="0"/>
        <w:tabs>
          <w:tab w:leader="none" w:pos="340" w:val="left"/>
        </w:tabs>
        <w:numPr>
          <w:ilvl w:val="0"/>
          <w:numId w:val="97"/>
        </w:numPr>
        <w:rPr>
          <w:rFonts w:ascii="Arial" w:cs="Arial" w:eastAsia="Arial" w:hAnsi="Arial"/>
          <w:sz w:val="13"/>
          <w:szCs w:val="13"/>
          <w:i w:val="1"/>
          <w:iCs w:val="1"/>
          <w:color w:val="auto"/>
        </w:rPr>
      </w:pPr>
      <w:r>
        <w:rPr>
          <w:rFonts w:ascii="Arial" w:cs="Arial" w:eastAsia="Arial" w:hAnsi="Arial"/>
          <w:sz w:val="13"/>
          <w:szCs w:val="13"/>
          <w:i w:val="1"/>
          <w:iCs w:val="1"/>
          <w:color w:val="auto"/>
        </w:rPr>
        <w:t>Acquisition of Symphony</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On 24 September 2019, a subsidiary of the Company, ICON Clinical Research LLC, acquired a 100% interest in Symphony. Symphony is a leading provider of at-home trial services and site support services. The acquisition of Symphony further enhances our site &amp; patient services offering. Accounting for the acquisition of Symphony was finalised in the year ended 31 December 2020.The acquisition resulted in the recognition of goodwill of $22.9 million.</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acquisition of Symphony has been accounted for as a business combination in accordance with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Company has made an assessment of the fair value of assets acquired and liabilities assumed as at that date.</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92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 September</w:t>
            </w:r>
          </w:p>
        </w:tc>
      </w:tr>
      <w:tr>
        <w:trPr>
          <w:trHeight w:val="169"/>
        </w:trPr>
        <w:tc>
          <w:tcPr>
            <w:tcW w:w="592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61"/>
        </w:trPr>
        <w:tc>
          <w:tcPr>
            <w:tcW w:w="5920" w:type="dxa"/>
            <w:vAlign w:val="bottom"/>
            <w:shd w:val="clear" w:color="auto" w:fill="CCEEFF"/>
          </w:tcPr>
          <w:p>
            <w:pPr>
              <w:spacing w:after="0"/>
              <w:rPr>
                <w:sz w:val="13"/>
                <w:szCs w:val="13"/>
                <w:color w:val="auto"/>
              </w:rPr>
            </w:pPr>
          </w:p>
        </w:tc>
        <w:tc>
          <w:tcPr>
            <w:tcW w:w="4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168"/>
        </w:trPr>
        <w:tc>
          <w:tcPr>
            <w:tcW w:w="5920" w:type="dxa"/>
            <w:vAlign w:val="bottom"/>
          </w:tcPr>
          <w:p>
            <w:pPr>
              <w:spacing w:after="0"/>
              <w:rPr>
                <w:sz w:val="20"/>
                <w:szCs w:val="20"/>
                <w:color w:val="auto"/>
              </w:rPr>
            </w:pPr>
            <w:r>
              <w:rPr>
                <w:rFonts w:ascii="Arial" w:cs="Arial" w:eastAsia="Arial" w:hAnsi="Arial"/>
                <w:sz w:val="13"/>
                <w:szCs w:val="13"/>
                <w:color w:val="auto"/>
              </w:rPr>
              <w:t>Cash &amp; cash equivalents</w:t>
            </w:r>
          </w:p>
        </w:tc>
        <w:tc>
          <w:tcPr>
            <w:tcW w:w="414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3,292</w:t>
            </w:r>
          </w:p>
        </w:tc>
      </w:tr>
      <w:tr>
        <w:trPr>
          <w:trHeight w:val="172"/>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r>
      <w:tr>
        <w:trPr>
          <w:trHeight w:val="168"/>
        </w:trPr>
        <w:tc>
          <w:tcPr>
            <w:tcW w:w="5920" w:type="dxa"/>
            <w:vAlign w:val="bottom"/>
          </w:tcPr>
          <w:p>
            <w:pPr>
              <w:spacing w:after="0"/>
              <w:rPr>
                <w:sz w:val="20"/>
                <w:szCs w:val="20"/>
                <w:color w:val="auto"/>
              </w:rPr>
            </w:pPr>
            <w:r>
              <w:rPr>
                <w:rFonts w:ascii="Arial" w:cs="Arial" w:eastAsia="Arial" w:hAnsi="Arial"/>
                <w:sz w:val="13"/>
                <w:szCs w:val="13"/>
                <w:color w:val="auto"/>
              </w:rPr>
              <w:t>Operating right of use assets</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820</w:t>
            </w:r>
          </w:p>
        </w:tc>
      </w:tr>
      <w:tr>
        <w:trPr>
          <w:trHeight w:val="172"/>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Goodwill *</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22,865</w:t>
            </w:r>
          </w:p>
        </w:tc>
      </w:tr>
      <w:tr>
        <w:trPr>
          <w:trHeight w:val="168"/>
        </w:trPr>
        <w:tc>
          <w:tcPr>
            <w:tcW w:w="5920" w:type="dxa"/>
            <w:vAlign w:val="bottom"/>
          </w:tcPr>
          <w:p>
            <w:pPr>
              <w:spacing w:after="0"/>
              <w:rPr>
                <w:sz w:val="20"/>
                <w:szCs w:val="20"/>
                <w:color w:val="auto"/>
              </w:rPr>
            </w:pPr>
            <w:r>
              <w:rPr>
                <w:rFonts w:ascii="Arial" w:cs="Arial" w:eastAsia="Arial" w:hAnsi="Arial"/>
                <w:sz w:val="13"/>
                <w:szCs w:val="13"/>
                <w:color w:val="auto"/>
              </w:rPr>
              <w:t>Customer relationships</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8,159</w:t>
            </w:r>
          </w:p>
        </w:tc>
      </w:tr>
      <w:tr>
        <w:trPr>
          <w:trHeight w:val="172"/>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Order backlog</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w:t>
            </w:r>
          </w:p>
        </w:tc>
      </w:tr>
      <w:tr>
        <w:trPr>
          <w:trHeight w:val="168"/>
        </w:trPr>
        <w:tc>
          <w:tcPr>
            <w:tcW w:w="5920" w:type="dxa"/>
            <w:vAlign w:val="bottom"/>
          </w:tcPr>
          <w:p>
            <w:pPr>
              <w:spacing w:after="0"/>
              <w:rPr>
                <w:sz w:val="20"/>
                <w:szCs w:val="20"/>
                <w:color w:val="auto"/>
              </w:rPr>
            </w:pPr>
            <w:r>
              <w:rPr>
                <w:rFonts w:ascii="Arial" w:cs="Arial" w:eastAsia="Arial" w:hAnsi="Arial"/>
                <w:sz w:val="13"/>
                <w:szCs w:val="13"/>
                <w:color w:val="auto"/>
              </w:rPr>
              <w:t>Computer Software</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307</w:t>
            </w:r>
          </w:p>
        </w:tc>
      </w:tr>
      <w:tr>
        <w:trPr>
          <w:trHeight w:val="172"/>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4,544</w:t>
            </w:r>
          </w:p>
        </w:tc>
      </w:tr>
      <w:tr>
        <w:trPr>
          <w:trHeight w:val="168"/>
        </w:trPr>
        <w:tc>
          <w:tcPr>
            <w:tcW w:w="5920" w:type="dxa"/>
            <w:vAlign w:val="bottom"/>
          </w:tcPr>
          <w:p>
            <w:pPr>
              <w:spacing w:after="0"/>
              <w:rPr>
                <w:sz w:val="20"/>
                <w:szCs w:val="20"/>
                <w:color w:val="auto"/>
              </w:rPr>
            </w:pPr>
            <w:r>
              <w:rPr>
                <w:rFonts w:ascii="Arial" w:cs="Arial" w:eastAsia="Arial" w:hAnsi="Arial"/>
                <w:sz w:val="13"/>
                <w:szCs w:val="13"/>
                <w:color w:val="auto"/>
              </w:rPr>
              <w:t>Unbilled revenue</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186</w:t>
            </w:r>
          </w:p>
        </w:tc>
      </w:tr>
      <w:tr>
        <w:trPr>
          <w:trHeight w:val="172"/>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Prepayments and other current assets</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r>
      <w:tr>
        <w:trPr>
          <w:trHeight w:val="168"/>
        </w:trPr>
        <w:tc>
          <w:tcPr>
            <w:tcW w:w="5920" w:type="dxa"/>
            <w:vAlign w:val="bottom"/>
          </w:tcPr>
          <w:p>
            <w:pPr>
              <w:spacing w:after="0"/>
              <w:rPr>
                <w:sz w:val="20"/>
                <w:szCs w:val="20"/>
                <w:color w:val="auto"/>
              </w:rPr>
            </w:pPr>
            <w:r>
              <w:rPr>
                <w:rFonts w:ascii="Arial" w:cs="Arial" w:eastAsia="Arial" w:hAnsi="Arial"/>
                <w:sz w:val="13"/>
                <w:szCs w:val="13"/>
                <w:color w:val="auto"/>
              </w:rPr>
              <w:t>Other receivables</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2"/>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w:t>
            </w:r>
          </w:p>
        </w:tc>
      </w:tr>
      <w:tr>
        <w:trPr>
          <w:trHeight w:val="168"/>
        </w:trPr>
        <w:tc>
          <w:tcPr>
            <w:tcW w:w="5920" w:type="dxa"/>
            <w:vAlign w:val="bottom"/>
          </w:tcPr>
          <w:p>
            <w:pPr>
              <w:spacing w:after="0"/>
              <w:rPr>
                <w:sz w:val="20"/>
                <w:szCs w:val="20"/>
                <w:color w:val="auto"/>
              </w:rPr>
            </w:pPr>
            <w:r>
              <w:rPr>
                <w:rFonts w:ascii="Arial" w:cs="Arial" w:eastAsia="Arial" w:hAnsi="Arial"/>
                <w:sz w:val="13"/>
                <w:szCs w:val="13"/>
                <w:color w:val="auto"/>
              </w:rPr>
              <w:t>Unearned revenue</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(2,411)</w:t>
            </w:r>
          </w:p>
        </w:tc>
      </w:tr>
      <w:tr>
        <w:trPr>
          <w:trHeight w:val="172"/>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4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w:t>
            </w:r>
          </w:p>
        </w:tc>
      </w:tr>
      <w:tr>
        <w:trPr>
          <w:trHeight w:val="168"/>
        </w:trPr>
        <w:tc>
          <w:tcPr>
            <w:tcW w:w="5920" w:type="dxa"/>
            <w:vAlign w:val="bottom"/>
          </w:tcPr>
          <w:p>
            <w:pPr>
              <w:spacing w:after="0"/>
              <w:rPr>
                <w:sz w:val="20"/>
                <w:szCs w:val="20"/>
                <w:color w:val="auto"/>
              </w:rPr>
            </w:pPr>
            <w:r>
              <w:rPr>
                <w:rFonts w:ascii="Arial" w:cs="Arial" w:eastAsia="Arial" w:hAnsi="Arial"/>
                <w:sz w:val="13"/>
                <w:szCs w:val="13"/>
                <w:color w:val="auto"/>
              </w:rPr>
              <w:t>Current lease liabilities</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(289)</w:t>
            </w:r>
          </w:p>
        </w:tc>
      </w:tr>
      <w:tr>
        <w:trPr>
          <w:trHeight w:val="173"/>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Non-current lease liabilities</w:t>
            </w:r>
          </w:p>
        </w:tc>
        <w:tc>
          <w:tcPr>
            <w:tcW w:w="4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w:t>
            </w:r>
          </w:p>
        </w:tc>
      </w:tr>
      <w:tr>
        <w:trPr>
          <w:trHeight w:val="159"/>
        </w:trPr>
        <w:tc>
          <w:tcPr>
            <w:tcW w:w="59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1"/>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41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37,817</w:t>
            </w:r>
          </w:p>
        </w:tc>
      </w:tr>
      <w:tr>
        <w:trPr>
          <w:trHeight w:val="170"/>
        </w:trPr>
        <w:tc>
          <w:tcPr>
            <w:tcW w:w="59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Cash outflows</w:t>
            </w:r>
          </w:p>
        </w:tc>
        <w:tc>
          <w:tcPr>
            <w:tcW w:w="41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34,976</w:t>
            </w:r>
          </w:p>
        </w:tc>
      </w:tr>
      <w:tr>
        <w:trPr>
          <w:trHeight w:val="168"/>
        </w:trPr>
        <w:tc>
          <w:tcPr>
            <w:tcW w:w="5920" w:type="dxa"/>
            <w:vAlign w:val="bottom"/>
          </w:tcPr>
          <w:p>
            <w:pPr>
              <w:spacing w:after="0"/>
              <w:rPr>
                <w:sz w:val="20"/>
                <w:szCs w:val="20"/>
                <w:color w:val="auto"/>
              </w:rPr>
            </w:pPr>
            <w:r>
              <w:rPr>
                <w:rFonts w:ascii="Arial" w:cs="Arial" w:eastAsia="Arial" w:hAnsi="Arial"/>
                <w:sz w:val="13"/>
                <w:szCs w:val="13"/>
                <w:color w:val="auto"/>
              </w:rPr>
              <w:t>Contingent consideration</w:t>
            </w:r>
          </w:p>
        </w:tc>
        <w:tc>
          <w:tcPr>
            <w:tcW w:w="4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2,500</w:t>
            </w:r>
          </w:p>
        </w:tc>
      </w:tr>
      <w:tr>
        <w:trPr>
          <w:trHeight w:val="173"/>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Working capital adjustment paid</w:t>
            </w:r>
          </w:p>
        </w:tc>
        <w:tc>
          <w:tcPr>
            <w:tcW w:w="4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w:t>
            </w:r>
          </w:p>
        </w:tc>
      </w:tr>
      <w:tr>
        <w:trPr>
          <w:trHeight w:val="159"/>
        </w:trPr>
        <w:tc>
          <w:tcPr>
            <w:tcW w:w="59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1"/>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 consideration</w:t>
            </w:r>
          </w:p>
        </w:tc>
        <w:tc>
          <w:tcPr>
            <w:tcW w:w="41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37,817</w:t>
            </w:r>
          </w:p>
        </w:tc>
      </w:tr>
    </w:tbl>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*Goodwill represents the acquisition of an established workforce and the capability to provide at-home trial services and site support solutions. The full amount of the goodwill recognised is expected to be deductible for income tax purposes.</w:t>
      </w:r>
    </w:p>
    <w:p>
      <w:pPr>
        <w:spacing w:after="0" w:line="26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finalising the acquisition of Symphony in the twelve month period from acquisition, fair value adjustments were made which resulted in increases in accounts receivable ($0.6 million) and unearned revenue ($1.0 million) and decreases in unbilled revenue ($0.1 million), accounts payable ($0.3 million) and other liabilities ($0.1 million). Customer relationship and order backlog assets were also finalised.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696" w:right="3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contingent consideration was based on revenue targets set for the Company to the period ending 31 March 2020. The fair value of the contingent consideration on acquisition was $2.5 million based on an income approach. In the twelve month period ended 31 December 2020, the contingent consideration was settled at fair value in the amount of $0.5 million. The change in fair value has been recorded in the selling, general and administrative expense line of the Consolidated Statement of Profit and Loss.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carrying values of accounts receivable, prepayments and other current assets above are carried at amortised cost and assumed to be approximate to their fair values due to the short-term nature of these balances. There is no evidence that the Group will not be able to collect all amounts due.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Since 24 September 2019, Symphony has earned revenue of $4.5 million and profit of $1.0 million in the year ended 31 December 2019. The proforma effect of the Symphony acquisition if completed on 1 January 2018 would have resulted in revenue and profit for the fiscal years ending 31 December 2019 and 31 December 2018 as follows: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54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Year Ended</w:t>
            </w:r>
          </w:p>
        </w:tc>
        <w:tc>
          <w:tcPr>
            <w:tcW w:w="900" w:type="dxa"/>
            <w:vAlign w:val="bottom"/>
            <w:shd w:val="clear" w:color="auto" w:fill="CCEEFF"/>
          </w:tcPr>
          <w:p>
            <w:pPr>
              <w:spacing w:after="0"/>
              <w:rPr>
                <w:sz w:val="14"/>
                <w:szCs w:val="14"/>
                <w:color w:val="auto"/>
              </w:rPr>
            </w:pPr>
          </w:p>
        </w:tc>
      </w:tr>
      <w:tr>
        <w:trPr>
          <w:trHeight w:val="169"/>
        </w:trPr>
        <w:tc>
          <w:tcPr>
            <w:tcW w:w="454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r>
      <w:tr>
        <w:trPr>
          <w:trHeight w:val="161"/>
        </w:trPr>
        <w:tc>
          <w:tcPr>
            <w:tcW w:w="454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(in thousands)</w:t>
            </w:r>
          </w:p>
        </w:tc>
        <w:tc>
          <w:tcPr>
            <w:tcW w:w="900" w:type="dxa"/>
            <w:vAlign w:val="bottom"/>
            <w:shd w:val="clear" w:color="auto" w:fill="CCEEFF"/>
          </w:tcPr>
          <w:p>
            <w:pPr>
              <w:spacing w:after="0"/>
              <w:rPr>
                <w:sz w:val="13"/>
                <w:szCs w:val="13"/>
                <w:color w:val="auto"/>
              </w:rPr>
            </w:pPr>
          </w:p>
        </w:tc>
      </w:tr>
      <w:tr>
        <w:trPr>
          <w:trHeight w:val="170"/>
        </w:trPr>
        <w:tc>
          <w:tcPr>
            <w:tcW w:w="45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Revenue</w:t>
            </w:r>
          </w:p>
        </w:tc>
        <w:tc>
          <w:tcPr>
            <w:tcW w:w="40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2,818,280</w:t>
            </w: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2,609,233</w:t>
            </w:r>
          </w:p>
        </w:tc>
      </w:tr>
      <w:tr>
        <w:trPr>
          <w:trHeight w:val="159"/>
        </w:trPr>
        <w:tc>
          <w:tcPr>
            <w:tcW w:w="45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Profit for the year</w:t>
            </w:r>
          </w:p>
        </w:tc>
        <w:tc>
          <w:tcPr>
            <w:tcW w:w="40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363,683</w:t>
            </w: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324,832</w:t>
            </w:r>
          </w:p>
        </w:tc>
      </w:tr>
    </w:tbl>
    <w:p>
      <w:pPr>
        <w:spacing w:after="0" w:line="350" w:lineRule="exact"/>
        <w:rPr>
          <w:sz w:val="20"/>
          <w:szCs w:val="20"/>
          <w:color w:val="auto"/>
        </w:rPr>
      </w:pPr>
    </w:p>
    <w:p>
      <w:pPr>
        <w:ind w:left="320" w:hanging="315"/>
        <w:spacing w:after="0"/>
        <w:tabs>
          <w:tab w:leader="none" w:pos="320" w:val="left"/>
        </w:tabs>
        <w:numPr>
          <w:ilvl w:val="0"/>
          <w:numId w:val="99"/>
        </w:numPr>
        <w:rPr>
          <w:rFonts w:ascii="Arial" w:cs="Arial" w:eastAsia="Arial" w:hAnsi="Arial"/>
          <w:sz w:val="13"/>
          <w:szCs w:val="13"/>
          <w:i w:val="1"/>
          <w:iCs w:val="1"/>
          <w:color w:val="auto"/>
        </w:rPr>
      </w:pPr>
      <w:r>
        <w:rPr>
          <w:rFonts w:ascii="Arial" w:cs="Arial" w:eastAsia="Arial" w:hAnsi="Arial"/>
          <w:sz w:val="13"/>
          <w:szCs w:val="13"/>
          <w:i w:val="1"/>
          <w:iCs w:val="1"/>
          <w:color w:val="auto"/>
        </w:rPr>
        <w:t>Acquisition of MeDiNova</w:t>
      </w:r>
    </w:p>
    <w:p>
      <w:pPr>
        <w:spacing w:after="0" w:line="308"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23 May 2019, a subsidiary of the Company, ICON Clinical Research (U.K.) Limited acquired a 60% majority shareholding in MeDiNova, a site network with research sites in key markets in Europe and Africa. On 9 March 2020 ICON exercised its option to call the outstanding shares in the noncontrolling interest to take 100% ownership of MeDiNova. The acquisition further enhances ICON's patient recruitment capabilities in EMEA and complements ICON's existing site network in the US, PMG Research. The acquisition resulted in the recognition of goodwill of $81.8 million. Accounting for the acquisition of MeDiNova was finalised in the year ended 31 December 2020.</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300" w:top="696" w:right="3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acquisition of MeDiNova has been accounted for as a business combination in accordance with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Company has made an assessment of the fair value of assets acquired and liabilities assumed as at that date.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shd w:val="clear" w:color="auto" w:fill="CCEEFF"/>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 May</w:t>
            </w:r>
          </w:p>
        </w:tc>
      </w:tr>
      <w:tr>
        <w:trPr>
          <w:trHeight w:val="169"/>
        </w:trPr>
        <w:tc>
          <w:tcPr>
            <w:tcW w:w="63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61"/>
        </w:trPr>
        <w:tc>
          <w:tcPr>
            <w:tcW w:w="6340" w:type="dxa"/>
            <w:vAlign w:val="bottom"/>
            <w:shd w:val="clear" w:color="auto" w:fill="CCEEFF"/>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168"/>
        </w:trPr>
        <w:tc>
          <w:tcPr>
            <w:tcW w:w="6340" w:type="dxa"/>
            <w:vAlign w:val="bottom"/>
          </w:tcPr>
          <w:p>
            <w:pPr>
              <w:ind w:left="20"/>
              <w:spacing w:after="0"/>
              <w:rPr>
                <w:sz w:val="20"/>
                <w:szCs w:val="20"/>
                <w:color w:val="auto"/>
              </w:rPr>
            </w:pPr>
            <w:r>
              <w:rPr>
                <w:rFonts w:ascii="Arial" w:cs="Arial" w:eastAsia="Arial" w:hAnsi="Arial"/>
                <w:sz w:val="13"/>
                <w:szCs w:val="13"/>
                <w:color w:val="auto"/>
              </w:rPr>
              <w:t>Cash &amp; cash equivalents</w:t>
            </w:r>
          </w:p>
        </w:tc>
        <w:tc>
          <w:tcPr>
            <w:tcW w:w="37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7,719</w:t>
            </w:r>
          </w:p>
        </w:tc>
      </w:tr>
      <w:tr>
        <w:trPr>
          <w:trHeight w:val="17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37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r>
      <w:tr>
        <w:trPr>
          <w:trHeight w:val="168"/>
        </w:trPr>
        <w:tc>
          <w:tcPr>
            <w:tcW w:w="6340" w:type="dxa"/>
            <w:vAlign w:val="bottom"/>
          </w:tcPr>
          <w:p>
            <w:pPr>
              <w:ind w:left="20"/>
              <w:spacing w:after="0"/>
              <w:rPr>
                <w:sz w:val="20"/>
                <w:szCs w:val="20"/>
                <w:color w:val="auto"/>
              </w:rPr>
            </w:pPr>
            <w:r>
              <w:rPr>
                <w:rFonts w:ascii="Arial" w:cs="Arial" w:eastAsia="Arial" w:hAnsi="Arial"/>
                <w:sz w:val="13"/>
                <w:szCs w:val="13"/>
                <w:color w:val="auto"/>
              </w:rPr>
              <w:t>Operating right of use assets</w:t>
            </w:r>
          </w:p>
        </w:tc>
        <w:tc>
          <w:tcPr>
            <w:tcW w:w="37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1,558</w:t>
            </w:r>
          </w:p>
        </w:tc>
      </w:tr>
      <w:tr>
        <w:trPr>
          <w:trHeight w:val="17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w:t>
            </w:r>
          </w:p>
        </w:tc>
        <w:tc>
          <w:tcPr>
            <w:tcW w:w="37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81,760</w:t>
            </w:r>
          </w:p>
        </w:tc>
      </w:tr>
      <w:tr>
        <w:trPr>
          <w:trHeight w:val="168"/>
        </w:trPr>
        <w:tc>
          <w:tcPr>
            <w:tcW w:w="634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37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3,887</w:t>
            </w:r>
          </w:p>
        </w:tc>
      </w:tr>
      <w:tr>
        <w:trPr>
          <w:trHeight w:val="17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Order backlog</w:t>
            </w:r>
          </w:p>
        </w:tc>
        <w:tc>
          <w:tcPr>
            <w:tcW w:w="37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r>
      <w:tr>
        <w:trPr>
          <w:trHeight w:val="168"/>
        </w:trPr>
        <w:tc>
          <w:tcPr>
            <w:tcW w:w="6340" w:type="dxa"/>
            <w:vAlign w:val="bottom"/>
          </w:tcPr>
          <w:p>
            <w:pPr>
              <w:ind w:left="20"/>
              <w:spacing w:after="0"/>
              <w:rPr>
                <w:sz w:val="20"/>
                <w:szCs w:val="20"/>
                <w:color w:val="auto"/>
              </w:rPr>
            </w:pPr>
            <w:r>
              <w:rPr>
                <w:rFonts w:ascii="Arial" w:cs="Arial" w:eastAsia="Arial" w:hAnsi="Arial"/>
                <w:sz w:val="13"/>
                <w:szCs w:val="13"/>
                <w:color w:val="auto"/>
              </w:rPr>
              <w:t>Patient database</w:t>
            </w:r>
          </w:p>
        </w:tc>
        <w:tc>
          <w:tcPr>
            <w:tcW w:w="37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2,542</w:t>
            </w:r>
          </w:p>
        </w:tc>
      </w:tr>
      <w:tr>
        <w:trPr>
          <w:trHeight w:val="17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37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3,488</w:t>
            </w:r>
          </w:p>
        </w:tc>
      </w:tr>
      <w:tr>
        <w:trPr>
          <w:trHeight w:val="168"/>
        </w:trPr>
        <w:tc>
          <w:tcPr>
            <w:tcW w:w="6340" w:type="dxa"/>
            <w:vAlign w:val="bottom"/>
          </w:tcPr>
          <w:p>
            <w:pPr>
              <w:ind w:left="20"/>
              <w:spacing w:after="0"/>
              <w:rPr>
                <w:sz w:val="20"/>
                <w:szCs w:val="20"/>
                <w:color w:val="auto"/>
              </w:rPr>
            </w:pPr>
            <w:r>
              <w:rPr>
                <w:rFonts w:ascii="Arial" w:cs="Arial" w:eastAsia="Arial" w:hAnsi="Arial"/>
                <w:sz w:val="13"/>
                <w:szCs w:val="13"/>
                <w:color w:val="auto"/>
              </w:rPr>
              <w:t>Unbilled revenue</w:t>
            </w:r>
          </w:p>
        </w:tc>
        <w:tc>
          <w:tcPr>
            <w:tcW w:w="37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4,272</w:t>
            </w:r>
          </w:p>
        </w:tc>
      </w:tr>
      <w:tr>
        <w:trPr>
          <w:trHeight w:val="17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37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r>
      <w:tr>
        <w:trPr>
          <w:trHeight w:val="168"/>
        </w:trPr>
        <w:tc>
          <w:tcPr>
            <w:tcW w:w="6340" w:type="dxa"/>
            <w:vAlign w:val="bottom"/>
          </w:tcPr>
          <w:p>
            <w:pPr>
              <w:ind w:left="20"/>
              <w:spacing w:after="0"/>
              <w:rPr>
                <w:sz w:val="20"/>
                <w:szCs w:val="20"/>
                <w:color w:val="auto"/>
              </w:rPr>
            </w:pPr>
            <w:r>
              <w:rPr>
                <w:rFonts w:ascii="Arial" w:cs="Arial" w:eastAsia="Arial" w:hAnsi="Arial"/>
                <w:sz w:val="13"/>
                <w:szCs w:val="13"/>
                <w:color w:val="auto"/>
              </w:rPr>
              <w:t>Prepayments and other current assets</w:t>
            </w:r>
          </w:p>
        </w:tc>
        <w:tc>
          <w:tcPr>
            <w:tcW w:w="37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406</w:t>
            </w:r>
          </w:p>
        </w:tc>
      </w:tr>
      <w:tr>
        <w:trPr>
          <w:trHeight w:val="17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37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(5,484)</w:t>
            </w:r>
          </w:p>
        </w:tc>
      </w:tr>
      <w:tr>
        <w:trPr>
          <w:trHeight w:val="168"/>
        </w:trPr>
        <w:tc>
          <w:tcPr>
            <w:tcW w:w="6340" w:type="dxa"/>
            <w:vAlign w:val="bottom"/>
          </w:tcPr>
          <w:p>
            <w:pPr>
              <w:ind w:left="20"/>
              <w:spacing w:after="0"/>
              <w:rPr>
                <w:sz w:val="20"/>
                <w:szCs w:val="20"/>
                <w:color w:val="auto"/>
              </w:rPr>
            </w:pPr>
            <w:r>
              <w:rPr>
                <w:rFonts w:ascii="Arial" w:cs="Arial" w:eastAsia="Arial" w:hAnsi="Arial"/>
                <w:sz w:val="13"/>
                <w:szCs w:val="13"/>
                <w:color w:val="auto"/>
              </w:rPr>
              <w:t>Unearned revenue</w:t>
            </w:r>
          </w:p>
        </w:tc>
        <w:tc>
          <w:tcPr>
            <w:tcW w:w="37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(5,796)</w:t>
            </w:r>
          </w:p>
        </w:tc>
      </w:tr>
      <w:tr>
        <w:trPr>
          <w:trHeight w:val="17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37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(6,860)</w:t>
            </w:r>
          </w:p>
        </w:tc>
      </w:tr>
      <w:tr>
        <w:trPr>
          <w:trHeight w:val="168"/>
        </w:trPr>
        <w:tc>
          <w:tcPr>
            <w:tcW w:w="6340" w:type="dxa"/>
            <w:vAlign w:val="bottom"/>
          </w:tcPr>
          <w:p>
            <w:pPr>
              <w:ind w:left="20"/>
              <w:spacing w:after="0"/>
              <w:rPr>
                <w:sz w:val="20"/>
                <w:szCs w:val="20"/>
                <w:color w:val="auto"/>
              </w:rPr>
            </w:pPr>
            <w:r>
              <w:rPr>
                <w:rFonts w:ascii="Arial" w:cs="Arial" w:eastAsia="Arial" w:hAnsi="Arial"/>
                <w:sz w:val="13"/>
                <w:szCs w:val="13"/>
                <w:color w:val="auto"/>
              </w:rPr>
              <w:t>Current lease liabilities</w:t>
            </w:r>
          </w:p>
        </w:tc>
        <w:tc>
          <w:tcPr>
            <w:tcW w:w="37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(430)</w:t>
            </w:r>
          </w:p>
        </w:tc>
      </w:tr>
      <w:tr>
        <w:trPr>
          <w:trHeight w:val="17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lease liabilities</w:t>
            </w:r>
          </w:p>
        </w:tc>
        <w:tc>
          <w:tcPr>
            <w:tcW w:w="37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w:t>
            </w:r>
          </w:p>
        </w:tc>
      </w:tr>
      <w:tr>
        <w:trPr>
          <w:trHeight w:val="171"/>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deferred tax liability</w:t>
            </w:r>
          </w:p>
        </w:tc>
        <w:tc>
          <w:tcPr>
            <w:tcW w:w="3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w:t>
            </w:r>
          </w:p>
        </w:tc>
      </w:tr>
      <w:tr>
        <w:trPr>
          <w:trHeight w:val="149"/>
        </w:trPr>
        <w:tc>
          <w:tcPr>
            <w:tcW w:w="63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71"/>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assets acquired</w:t>
            </w:r>
          </w:p>
        </w:tc>
        <w:tc>
          <w:tcPr>
            <w:tcW w:w="3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86,249</w:t>
            </w:r>
          </w:p>
        </w:tc>
      </w:tr>
      <w:tr>
        <w:trPr>
          <w:trHeight w:val="149"/>
        </w:trPr>
        <w:tc>
          <w:tcPr>
            <w:tcW w:w="63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68"/>
        </w:trPr>
        <w:tc>
          <w:tcPr>
            <w:tcW w:w="6340" w:type="dxa"/>
            <w:vAlign w:val="bottom"/>
          </w:tcPr>
          <w:p>
            <w:pPr>
              <w:ind w:left="20"/>
              <w:spacing w:after="0"/>
              <w:rPr>
                <w:sz w:val="20"/>
                <w:szCs w:val="20"/>
                <w:color w:val="auto"/>
              </w:rPr>
            </w:pPr>
            <w:r>
              <w:rPr>
                <w:rFonts w:ascii="Arial" w:cs="Arial" w:eastAsia="Arial" w:hAnsi="Arial"/>
                <w:sz w:val="13"/>
                <w:szCs w:val="13"/>
                <w:color w:val="auto"/>
              </w:rPr>
              <w:t>Cash outflows</w:t>
            </w:r>
          </w:p>
        </w:tc>
        <w:tc>
          <w:tcPr>
            <w:tcW w:w="37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54,123</w:t>
            </w:r>
          </w:p>
        </w:tc>
      </w:tr>
      <w:tr>
        <w:trPr>
          <w:trHeight w:val="17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Working capital adjustment received</w:t>
            </w:r>
          </w:p>
        </w:tc>
        <w:tc>
          <w:tcPr>
            <w:tcW w:w="37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w:t>
            </w:r>
          </w:p>
        </w:tc>
      </w:tr>
      <w:tr>
        <w:trPr>
          <w:trHeight w:val="171"/>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Noncontrolling interest **</w:t>
            </w:r>
          </w:p>
        </w:tc>
        <w:tc>
          <w:tcPr>
            <w:tcW w:w="3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32,592</w:t>
            </w:r>
          </w:p>
        </w:tc>
      </w:tr>
      <w:tr>
        <w:trPr>
          <w:trHeight w:val="149"/>
        </w:trPr>
        <w:tc>
          <w:tcPr>
            <w:tcW w:w="63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71"/>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consideration (including noncontrolling interest)</w:t>
            </w:r>
          </w:p>
        </w:tc>
        <w:tc>
          <w:tcPr>
            <w:tcW w:w="3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86,249</w:t>
            </w:r>
          </w:p>
        </w:tc>
      </w:tr>
    </w:tbl>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*Goodwill represents the acquisition of an established workforce and access to a broad site network in Europe and Africa. None of the goodwill recognised is expected to be deductible for income tax purposes.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fair value of the noncontrolling interest on 23 May 2019 was $32.6 million which was estimated by applying an income-based approach. The valuation approach used was based on the expected future earnings of the company times and an appropriate earnings multiple. Redemption of the noncontrolling interest was based on MeDiNova's earnings to 31 March 2020. On 9 March 2020 ICON exercised its option to call the outstanding shares in the noncontrolling interest to take 100% ownership of MeDiNova. ICON settled the liability to acquire the outstanding shares on 17 July 2020 for $43.9 million.</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finalising the acquisition of MeDiNova in the twelve month period from acquisition, fair value adjustments were made which resulted in an increase in other liabilities ($1.6 million) and decreases in operating right of use assets ($0.3 million), current lease liabilities ($0.1 million), non-current lease liabilities ($0.3 million) and non-current deferred tax liability ($2.2 million). Customer relationship, order backlog and patient database assets were also finalised.</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carrying values of accounts receivable, prepayments and other current assets above are carried at amortised cost and assumed to be approximate to their fair values due to the short-term nature of these balances. There is no evidence that the Group will not be able to collect all amounts due.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80"/>
          </w:cols>
          <w:pgMar w:left="300" w:top="696" w:right="3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Since 23 May 2019, MeDiNova has earned revenue of $6.5 million (after elimination of intercompany revenue from ICON) and net income of $4.7 million in the year ended 31 December 2019. The proforma effect of the MeDiNova acquisition if completed on 1 January 2018 would have resulted in revenue and profit for the fiscal years ending 31 December 2019 and 31 December 2018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shd w:val="clear" w:color="auto" w:fill="CCEEFF"/>
          </w:tcPr>
          <w:p>
            <w:pPr>
              <w:spacing w:after="0"/>
              <w:rPr>
                <w:sz w:val="14"/>
                <w:szCs w:val="14"/>
                <w:color w:val="auto"/>
              </w:rPr>
            </w:pPr>
          </w:p>
        </w:tc>
        <w:tc>
          <w:tcPr>
            <w:tcW w:w="42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Year Ended</w:t>
            </w:r>
          </w:p>
        </w:tc>
        <w:tc>
          <w:tcPr>
            <w:tcW w:w="740" w:type="dxa"/>
            <w:vAlign w:val="bottom"/>
            <w:shd w:val="clear" w:color="auto" w:fill="CCEEFF"/>
          </w:tcPr>
          <w:p>
            <w:pPr>
              <w:spacing w:after="0"/>
              <w:rPr>
                <w:sz w:val="14"/>
                <w:szCs w:val="14"/>
                <w:color w:val="auto"/>
              </w:rPr>
            </w:pPr>
          </w:p>
        </w:tc>
      </w:tr>
      <w:tr>
        <w:trPr>
          <w:trHeight w:val="169"/>
        </w:trPr>
        <w:tc>
          <w:tcPr>
            <w:tcW w:w="48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r>
      <w:tr>
        <w:trPr>
          <w:trHeight w:val="161"/>
        </w:trPr>
        <w:tc>
          <w:tcPr>
            <w:tcW w:w="486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(in thousands)</w:t>
            </w:r>
          </w:p>
        </w:tc>
        <w:tc>
          <w:tcPr>
            <w:tcW w:w="740" w:type="dxa"/>
            <w:vAlign w:val="bottom"/>
            <w:shd w:val="clear" w:color="auto" w:fill="CCEEFF"/>
          </w:tcPr>
          <w:p>
            <w:pPr>
              <w:spacing w:after="0"/>
              <w:rPr>
                <w:sz w:val="13"/>
                <w:szCs w:val="13"/>
                <w:color w:val="auto"/>
              </w:rPr>
            </w:pPr>
          </w:p>
        </w:tc>
      </w:tr>
      <w:tr>
        <w:trPr>
          <w:trHeight w:val="170"/>
        </w:trPr>
        <w:tc>
          <w:tcPr>
            <w:tcW w:w="48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4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2,807,788</w:t>
            </w: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2,599,091</w:t>
            </w:r>
          </w:p>
        </w:tc>
      </w:tr>
      <w:tr>
        <w:trPr>
          <w:trHeight w:val="159"/>
        </w:trPr>
        <w:tc>
          <w:tcPr>
            <w:tcW w:w="48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1"/>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Profit for the year</w:t>
            </w:r>
          </w:p>
        </w:tc>
        <w:tc>
          <w:tcPr>
            <w:tcW w:w="4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363,026</w:t>
            </w: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323,920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 Acquisition of MMD</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On 25 January 2019, a subsidiary of the Company, ICON Laboratory Services, Inc. acquired 100% of the share capital of MMD. MMD is a molecular diagnostic speciality laboratory that enables the development and commercialisation of precision medicines in oncology. The acquisition was finalised in the financial year ended 31 December 2019. The acquisition resulted in the recognition of goodwill of $22.4 million.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acquisition of MMD has been accounted for as a business combination in accordance with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Company made an assessment of the fair value of assets acquired and liabilities assumed as at that date. The following table summarises the Company’s fair values of the assets acquired and liabilities assumed: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 January</w:t>
            </w:r>
          </w:p>
        </w:tc>
      </w:tr>
      <w:tr>
        <w:trPr>
          <w:trHeight w:val="169"/>
        </w:trPr>
        <w:tc>
          <w:tcPr>
            <w:tcW w:w="59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61"/>
        </w:trPr>
        <w:tc>
          <w:tcPr>
            <w:tcW w:w="594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(in thousands)</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Cash &amp; cash equivalent</w:t>
            </w:r>
          </w:p>
        </w:tc>
        <w:tc>
          <w:tcPr>
            <w:tcW w:w="39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686</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39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1,626</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Operating right of use assets</w:t>
            </w:r>
          </w:p>
        </w:tc>
        <w:tc>
          <w:tcPr>
            <w:tcW w:w="39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2,866</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w:t>
            </w:r>
          </w:p>
        </w:tc>
        <w:tc>
          <w:tcPr>
            <w:tcW w:w="39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22,430</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Customer relationships *</w:t>
            </w:r>
          </w:p>
        </w:tc>
        <w:tc>
          <w:tcPr>
            <w:tcW w:w="39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10,708</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Order backlog *</w:t>
            </w:r>
          </w:p>
        </w:tc>
        <w:tc>
          <w:tcPr>
            <w:tcW w:w="39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2,787</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Computer Software</w:t>
            </w:r>
          </w:p>
        </w:tc>
        <w:tc>
          <w:tcPr>
            <w:tcW w:w="39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39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Unbilled revenue</w:t>
            </w:r>
          </w:p>
        </w:tc>
        <w:tc>
          <w:tcPr>
            <w:tcW w:w="39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2,421</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39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Prepayments and other current assets</w:t>
            </w:r>
          </w:p>
        </w:tc>
        <w:tc>
          <w:tcPr>
            <w:tcW w:w="39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908</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w:t>
            </w:r>
          </w:p>
        </w:tc>
        <w:tc>
          <w:tcPr>
            <w:tcW w:w="39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39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(1,280)</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w:t>
            </w:r>
          </w:p>
        </w:tc>
        <w:tc>
          <w:tcPr>
            <w:tcW w:w="39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39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(1,232)</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lease liabilities</w:t>
            </w:r>
          </w:p>
        </w:tc>
        <w:tc>
          <w:tcPr>
            <w:tcW w:w="39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r>
      <w:tr>
        <w:trPr>
          <w:trHeight w:val="168"/>
        </w:trPr>
        <w:tc>
          <w:tcPr>
            <w:tcW w:w="594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39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(2,167)</w:t>
            </w:r>
          </w:p>
        </w:tc>
      </w:tr>
      <w:tr>
        <w:trPr>
          <w:trHeight w:val="17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39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(1,123)</w:t>
            </w:r>
          </w:p>
        </w:tc>
      </w:tr>
      <w:tr>
        <w:trPr>
          <w:trHeight w:val="170"/>
        </w:trPr>
        <w:tc>
          <w:tcPr>
            <w:tcW w:w="59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assets acquired</w:t>
            </w:r>
          </w:p>
        </w:tc>
        <w:tc>
          <w:tcPr>
            <w:tcW w:w="3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42,173</w:t>
            </w:r>
          </w:p>
        </w:tc>
      </w:tr>
      <w:tr>
        <w:trPr>
          <w:trHeight w:val="159"/>
        </w:trPr>
        <w:tc>
          <w:tcPr>
            <w:tcW w:w="59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0"/>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outflows</w:t>
            </w:r>
          </w:p>
        </w:tc>
        <w:tc>
          <w:tcPr>
            <w:tcW w:w="39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42,349</w:t>
            </w:r>
          </w:p>
        </w:tc>
      </w:tr>
      <w:tr>
        <w:trPr>
          <w:trHeight w:val="17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Working capital adjustment</w:t>
            </w:r>
          </w:p>
        </w:tc>
        <w:tc>
          <w:tcPr>
            <w:tcW w:w="3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r>
      <w:tr>
        <w:trPr>
          <w:trHeight w:val="159"/>
        </w:trPr>
        <w:tc>
          <w:tcPr>
            <w:tcW w:w="594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7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consideration</w:t>
            </w:r>
          </w:p>
        </w:tc>
        <w:tc>
          <w:tcPr>
            <w:tcW w:w="39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42,173</w:t>
            </w:r>
          </w:p>
        </w:tc>
      </w:tr>
    </w:tbl>
    <w:p>
      <w:pPr>
        <w:spacing w:after="0" w:line="76" w:lineRule="exact"/>
        <w:rPr>
          <w:sz w:val="20"/>
          <w:szCs w:val="20"/>
          <w:color w:val="auto"/>
        </w:rPr>
      </w:pPr>
    </w:p>
    <w:p>
      <w:pPr>
        <w:jc w:val="both"/>
        <w:ind w:firstLine="39"/>
        <w:spacing w:after="0"/>
        <w:rPr>
          <w:sz w:val="20"/>
          <w:szCs w:val="20"/>
          <w:color w:val="auto"/>
        </w:rPr>
      </w:pPr>
      <w:r>
        <w:rPr>
          <w:rFonts w:ascii="Arial" w:cs="Arial" w:eastAsia="Arial" w:hAnsi="Arial"/>
          <w:sz w:val="13"/>
          <w:szCs w:val="13"/>
          <w:color w:val="auto"/>
        </w:rPr>
        <w:t>*Goodwill represents the acquisition of an established workforce with experience in molecular diagnostic speciality laboratory services and commercialisation of precision medicines in oncology. None of the goodwill recognised is expected to be deductible for income tax purposes. In finalising the goodwill on acquisition of MMD in the twelve month period from acquisition, fair value adjustments were made which resulted in increases in unbilled revenue ($2.1 million), deferred tax asset ($3.7 million), accounts payable $0.6 million) and other liabilities ($0.1 million) and decreases in property, plant and equipment ($0.1 million) and unearned revenue ($0.9 million). Customer relationship and order backlog assets were also finalised.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696" w:right="319" w:bottom="1440" w:gutter="0" w:footer="0" w:header="0"/>
        </w:sectPr>
      </w:pPr>
    </w:p>
    <w:bookmarkStart w:id="111" w:name="page112"/>
    <w:bookmarkEnd w:id="111"/>
    <w:p>
      <w:pPr>
        <w:ind w:left="80"/>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400" w:hanging="315"/>
        <w:spacing w:after="0"/>
        <w:tabs>
          <w:tab w:leader="none" w:pos="40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line="244" w:lineRule="auto"/>
        <w:rPr>
          <w:sz w:val="20"/>
          <w:szCs w:val="20"/>
          <w:color w:val="auto"/>
        </w:rPr>
      </w:pPr>
      <w:r>
        <w:rPr>
          <w:rFonts w:ascii="Arial" w:cs="Arial" w:eastAsia="Arial" w:hAnsi="Arial"/>
          <w:sz w:val="13"/>
          <w:szCs w:val="13"/>
          <w:color w:val="auto"/>
        </w:rPr>
        <w:t>The carrying values of accounts receivable, prepayments and other current assets above are carried at amortised cost and assumed to be approximate to their fair values due to the short-term nature of these balances. There is no evidence that the Group will not be able to collect all amounts due.</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Since 25 January 2019, MMD has earned revenue of $17.9 million and net income of $1.1 million in the year ended 31 December 2019. The proforma effect of the MMD acquisition if completed on 1</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3"/>
          <w:szCs w:val="13"/>
          <w:color w:val="auto"/>
        </w:rPr>
        <w:t>January 2018 would have resulted in revenue and profit for the fiscal years ending 31 December 2019 and 31 December 2018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Year Ended</w:t>
            </w: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454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2018</w:t>
            </w:r>
          </w:p>
        </w:tc>
      </w:tr>
      <w:tr>
        <w:trPr>
          <w:trHeight w:val="161"/>
        </w:trPr>
        <w:tc>
          <w:tcPr>
            <w:tcW w:w="100" w:type="dxa"/>
            <w:vAlign w:val="bottom"/>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39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59"/>
        </w:trPr>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1"/>
        </w:trPr>
        <w:tc>
          <w:tcPr>
            <w:tcW w:w="100" w:type="dxa"/>
            <w:vAlign w:val="bottom"/>
          </w:tcPr>
          <w:p>
            <w:pPr>
              <w:spacing w:after="0"/>
              <w:rPr>
                <w:sz w:val="14"/>
                <w:szCs w:val="14"/>
                <w:color w:val="auto"/>
              </w:rPr>
            </w:pPr>
          </w:p>
        </w:tc>
        <w:tc>
          <w:tcPr>
            <w:tcW w:w="4540" w:type="dxa"/>
            <w:vAlign w:val="bottom"/>
            <w:tcBorders>
              <w:bottom w:val="single" w:sz="8" w:color="auto"/>
            </w:tcBorders>
            <w:shd w:val="clear" w:color="auto" w:fill="CCEEFF"/>
          </w:tcPr>
          <w:p>
            <w:pPr>
              <w:jc w:val="right"/>
              <w:ind w:right="3956"/>
              <w:spacing w:after="0"/>
              <w:rPr>
                <w:sz w:val="20"/>
                <w:szCs w:val="20"/>
                <w:color w:val="auto"/>
              </w:rPr>
            </w:pPr>
            <w:r>
              <w:rPr>
                <w:rFonts w:ascii="Arial" w:cs="Arial" w:eastAsia="Arial" w:hAnsi="Arial"/>
                <w:sz w:val="13"/>
                <w:szCs w:val="13"/>
                <w:color w:val="auto"/>
                <w:w w:val="96"/>
              </w:rPr>
              <w:t>Revenue</w:t>
            </w:r>
          </w:p>
        </w:tc>
        <w:tc>
          <w:tcPr>
            <w:tcW w:w="39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2,806,908</w:t>
            </w: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2,612,346</w:t>
            </w:r>
          </w:p>
        </w:tc>
      </w:tr>
      <w:tr>
        <w:trPr>
          <w:trHeight w:val="191"/>
        </w:trPr>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71"/>
        </w:trPr>
        <w:tc>
          <w:tcPr>
            <w:tcW w:w="100" w:type="dxa"/>
            <w:vAlign w:val="bottom"/>
          </w:tcPr>
          <w:p>
            <w:pPr>
              <w:spacing w:after="0"/>
              <w:rPr>
                <w:sz w:val="14"/>
                <w:szCs w:val="14"/>
                <w:color w:val="auto"/>
              </w:rPr>
            </w:pPr>
          </w:p>
        </w:tc>
        <w:tc>
          <w:tcPr>
            <w:tcW w:w="4540" w:type="dxa"/>
            <w:vAlign w:val="bottom"/>
            <w:tcBorders>
              <w:bottom w:val="single" w:sz="8" w:color="auto"/>
            </w:tcBorders>
            <w:shd w:val="clear" w:color="auto" w:fill="CCEEFF"/>
          </w:tcPr>
          <w:p>
            <w:pPr>
              <w:jc w:val="right"/>
              <w:ind w:right="3496"/>
              <w:spacing w:after="0"/>
              <w:rPr>
                <w:sz w:val="20"/>
                <w:szCs w:val="20"/>
                <w:color w:val="auto"/>
              </w:rPr>
            </w:pPr>
            <w:r>
              <w:rPr>
                <w:rFonts w:ascii="Arial" w:cs="Arial" w:eastAsia="Arial" w:hAnsi="Arial"/>
                <w:sz w:val="13"/>
                <w:szCs w:val="13"/>
                <w:color w:val="auto"/>
                <w:w w:val="96"/>
              </w:rPr>
              <w:t>Profit for the year</w:t>
            </w:r>
          </w:p>
        </w:tc>
        <w:tc>
          <w:tcPr>
            <w:tcW w:w="39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360,977</w:t>
            </w: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321,859</w:t>
            </w:r>
          </w:p>
        </w:tc>
      </w:tr>
      <w:tr>
        <w:trPr>
          <w:trHeight w:val="587"/>
        </w:trPr>
        <w:tc>
          <w:tcPr>
            <w:tcW w:w="4640" w:type="dxa"/>
            <w:vAlign w:val="bottom"/>
            <w:gridSpan w:val="2"/>
          </w:tcPr>
          <w:p>
            <w:pPr>
              <w:jc w:val="right"/>
              <w:ind w:right="3496"/>
              <w:spacing w:after="0"/>
              <w:rPr>
                <w:sz w:val="20"/>
                <w:szCs w:val="20"/>
                <w:color w:val="auto"/>
              </w:rPr>
            </w:pPr>
            <w:r>
              <w:rPr>
                <w:rFonts w:ascii="Arial" w:cs="Arial" w:eastAsia="Arial" w:hAnsi="Arial"/>
                <w:sz w:val="13"/>
                <w:szCs w:val="13"/>
                <w:b w:val="1"/>
                <w:bCs w:val="1"/>
                <w:color w:val="auto"/>
              </w:rPr>
              <w:t>15.  Inventories</w:t>
            </w:r>
          </w:p>
        </w:tc>
        <w:tc>
          <w:tcPr>
            <w:tcW w:w="3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5"/>
        </w:trPr>
        <w:tc>
          <w:tcPr>
            <w:tcW w:w="100" w:type="dxa"/>
            <w:vAlign w:val="bottom"/>
            <w:tcBorders>
              <w:right w:val="single" w:sz="8" w:color="CCEEFF"/>
            </w:tcBorders>
          </w:tcPr>
          <w:p>
            <w:pPr>
              <w:spacing w:after="0"/>
              <w:rPr>
                <w:sz w:val="11"/>
                <w:szCs w:val="11"/>
                <w:color w:val="auto"/>
              </w:rPr>
            </w:pPr>
          </w:p>
        </w:tc>
        <w:tc>
          <w:tcPr>
            <w:tcW w:w="454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b w:val="1"/>
                <w:bCs w:val="1"/>
                <w:color w:val="auto"/>
              </w:rPr>
              <w:t>31 December</w:t>
            </w: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 December</w:t>
            </w:r>
          </w:p>
        </w:tc>
        <w:tc>
          <w:tcPr>
            <w:tcW w:w="260" w:type="dxa"/>
            <w:vAlign w:val="bottom"/>
          </w:tcPr>
          <w:p>
            <w:pPr>
              <w:spacing w:after="0"/>
              <w:rPr>
                <w:sz w:val="11"/>
                <w:szCs w:val="11"/>
                <w:color w:val="auto"/>
              </w:rPr>
            </w:pPr>
          </w:p>
        </w:tc>
      </w:tr>
      <w:tr>
        <w:trPr>
          <w:trHeight w:val="169"/>
        </w:trPr>
        <w:tc>
          <w:tcPr>
            <w:tcW w:w="100" w:type="dxa"/>
            <w:vAlign w:val="bottom"/>
            <w:tcBorders>
              <w:right w:val="single" w:sz="8" w:color="CCEEFF"/>
            </w:tcBorders>
          </w:tcPr>
          <w:p>
            <w:pPr>
              <w:spacing w:after="0"/>
              <w:rPr>
                <w:sz w:val="14"/>
                <w:szCs w:val="14"/>
                <w:color w:val="auto"/>
              </w:rPr>
            </w:pPr>
          </w:p>
        </w:tc>
        <w:tc>
          <w:tcPr>
            <w:tcW w:w="4540" w:type="dxa"/>
            <w:vAlign w:val="bottom"/>
            <w:tcBorders>
              <w:bottom w:val="single" w:sz="8" w:color="auto"/>
            </w:tcBorders>
            <w:shd w:val="clear" w:color="auto" w:fill="CCEEFF"/>
          </w:tcPr>
          <w:p>
            <w:pPr>
              <w:spacing w:after="0"/>
              <w:rPr>
                <w:sz w:val="14"/>
                <w:szCs w:val="14"/>
                <w:color w:val="auto"/>
              </w:rPr>
            </w:pPr>
          </w:p>
        </w:tc>
        <w:tc>
          <w:tcPr>
            <w:tcW w:w="39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260" w:type="dxa"/>
            <w:vAlign w:val="bottom"/>
          </w:tcPr>
          <w:p>
            <w:pPr>
              <w:spacing w:after="0"/>
              <w:rPr>
                <w:sz w:val="14"/>
                <w:szCs w:val="14"/>
                <w:color w:val="auto"/>
              </w:rPr>
            </w:pPr>
          </w:p>
        </w:tc>
      </w:tr>
      <w:tr>
        <w:trPr>
          <w:trHeight w:val="160"/>
        </w:trPr>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5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$’000</w:t>
            </w:r>
          </w:p>
        </w:tc>
      </w:tr>
      <w:tr>
        <w:trPr>
          <w:trHeight w:val="202"/>
        </w:trPr>
        <w:tc>
          <w:tcPr>
            <w:tcW w:w="100" w:type="dxa"/>
            <w:vAlign w:val="bottom"/>
            <w:tcBorders>
              <w:right w:val="single" w:sz="8" w:color="CCEEFF"/>
            </w:tcBorders>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69"/>
        </w:trPr>
        <w:tc>
          <w:tcPr>
            <w:tcW w:w="4640" w:type="dxa"/>
            <w:vAlign w:val="bottom"/>
            <w:gridSpan w:val="2"/>
          </w:tcPr>
          <w:p>
            <w:pPr>
              <w:jc w:val="right"/>
              <w:ind w:right="3476"/>
              <w:spacing w:after="0"/>
              <w:rPr>
                <w:sz w:val="20"/>
                <w:szCs w:val="20"/>
                <w:color w:val="auto"/>
              </w:rPr>
            </w:pPr>
            <w:r>
              <w:rPr>
                <w:rFonts w:ascii="Arial" w:cs="Arial" w:eastAsia="Arial" w:hAnsi="Arial"/>
                <w:sz w:val="13"/>
                <w:szCs w:val="13"/>
                <w:color w:val="auto"/>
                <w:w w:val="94"/>
              </w:rPr>
              <w:t>boratory inventories</w:t>
            </w:r>
          </w:p>
        </w:tc>
        <w:tc>
          <w:tcPr>
            <w:tcW w:w="392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3"/>
                <w:szCs w:val="13"/>
                <w:b w:val="1"/>
                <w:bCs w:val="1"/>
                <w:color w:val="auto"/>
              </w:rPr>
              <w:t>4,806</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3,181</w:t>
            </w:r>
          </w:p>
        </w:tc>
        <w:tc>
          <w:tcPr>
            <w:tcW w:w="260" w:type="dxa"/>
            <w:vAlign w:val="bottom"/>
          </w:tcPr>
          <w:p>
            <w:pPr>
              <w:spacing w:after="0"/>
              <w:rPr>
                <w:sz w:val="14"/>
                <w:szCs w:val="14"/>
                <w:color w:val="auto"/>
              </w:rPr>
            </w:pPr>
          </w:p>
        </w:tc>
      </w:tr>
      <w:tr>
        <w:trPr>
          <w:trHeight w:val="21"/>
        </w:trPr>
        <w:tc>
          <w:tcPr>
            <w:tcW w:w="100" w:type="dxa"/>
            <w:vAlign w:val="bottom"/>
            <w:tcBorders>
              <w:right w:val="single" w:sz="8" w:color="auto"/>
            </w:tcBorders>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67" w:lineRule="exact"/>
        <w:rPr>
          <w:sz w:val="20"/>
          <w:szCs w:val="20"/>
          <w:color w:val="auto"/>
        </w:rPr>
      </w:pPr>
    </w:p>
    <w:p>
      <w:pPr>
        <w:ind w:left="80"/>
        <w:spacing w:after="0" w:line="244" w:lineRule="auto"/>
        <w:rPr>
          <w:sz w:val="20"/>
          <w:szCs w:val="20"/>
          <w:color w:val="auto"/>
        </w:rPr>
      </w:pPr>
      <w:r>
        <w:rPr>
          <w:rFonts w:ascii="Arial" w:cs="Arial" w:eastAsia="Arial" w:hAnsi="Arial"/>
          <w:sz w:val="13"/>
          <w:szCs w:val="13"/>
          <w:color w:val="auto"/>
        </w:rPr>
        <w:t>The cost of inventories is recognised as an expense and included in direct costs in the Consolidated Statement of Profit and Loss. $46.8 million (2019: $34.3 million) was charged to the Consolidated Statement of Profit and Loss for the year ended 31 December 2020.</w:t>
      </w:r>
    </w:p>
    <w:p>
      <w:pPr>
        <w:spacing w:after="0" w:line="338" w:lineRule="exact"/>
        <w:rPr>
          <w:sz w:val="20"/>
          <w:szCs w:val="20"/>
          <w:color w:val="auto"/>
        </w:rPr>
      </w:pPr>
    </w:p>
    <w:p>
      <w:pPr>
        <w:ind w:left="400" w:hanging="315"/>
        <w:spacing w:after="0"/>
        <w:tabs>
          <w:tab w:leader="none" w:pos="40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 unbilled services (contract assets) and unearned revenue (contract liabilities)</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340" w:type="dxa"/>
            <w:vAlign w:val="bottom"/>
            <w:shd w:val="clear" w:color="auto" w:fill="CCEEFF"/>
          </w:tcPr>
          <w:p>
            <w:pPr>
              <w:spacing w:after="0"/>
              <w:rPr>
                <w:sz w:val="12"/>
                <w:szCs w:val="12"/>
                <w:color w:val="auto"/>
              </w:rPr>
            </w:pPr>
          </w:p>
        </w:tc>
        <w:tc>
          <w:tcPr>
            <w:tcW w:w="47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340" w:type="dxa"/>
            <w:vAlign w:val="bottom"/>
            <w:tcBorders>
              <w:bottom w:val="single" w:sz="8" w:color="auto"/>
            </w:tcBorders>
            <w:shd w:val="clear" w:color="auto" w:fill="CCEEFF"/>
          </w:tcPr>
          <w:p>
            <w:pPr>
              <w:spacing w:after="0"/>
              <w:rPr>
                <w:sz w:val="14"/>
                <w:szCs w:val="14"/>
                <w:color w:val="auto"/>
              </w:rPr>
            </w:pPr>
          </w:p>
        </w:tc>
        <w:tc>
          <w:tcPr>
            <w:tcW w:w="47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340" w:type="dxa"/>
            <w:vAlign w:val="bottom"/>
          </w:tcPr>
          <w:p>
            <w:pPr>
              <w:spacing w:after="0"/>
              <w:rPr>
                <w:sz w:val="13"/>
                <w:szCs w:val="13"/>
                <w:color w:val="auto"/>
              </w:rPr>
            </w:pPr>
          </w:p>
        </w:tc>
        <w:tc>
          <w:tcPr>
            <w:tcW w:w="474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340" w:type="dxa"/>
            <w:vAlign w:val="bottom"/>
            <w:shd w:val="clear" w:color="auto" w:fill="CCEEFF"/>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Accounts receivable</w:t>
            </w:r>
          </w:p>
        </w:tc>
        <w:tc>
          <w:tcPr>
            <w:tcW w:w="4740" w:type="dxa"/>
            <w:vAlign w:val="bottom"/>
          </w:tcPr>
          <w:p>
            <w:pPr>
              <w:jc w:val="right"/>
              <w:ind w:right="356"/>
              <w:spacing w:after="0"/>
              <w:rPr>
                <w:sz w:val="20"/>
                <w:szCs w:val="20"/>
                <w:color w:val="auto"/>
              </w:rPr>
            </w:pPr>
            <w:r>
              <w:rPr>
                <w:rFonts w:ascii="Arial" w:cs="Arial" w:eastAsia="Arial" w:hAnsi="Arial"/>
                <w:sz w:val="13"/>
                <w:szCs w:val="13"/>
                <w:b w:val="1"/>
                <w:bCs w:val="1"/>
                <w:color w:val="auto"/>
              </w:rPr>
              <w:t>722,420</w:t>
            </w:r>
          </w:p>
        </w:tc>
        <w:tc>
          <w:tcPr>
            <w:tcW w:w="1180" w:type="dxa"/>
            <w:vAlign w:val="bottom"/>
          </w:tcPr>
          <w:p>
            <w:pPr>
              <w:jc w:val="right"/>
              <w:spacing w:after="0"/>
              <w:rPr>
                <w:sz w:val="20"/>
                <w:szCs w:val="20"/>
                <w:color w:val="auto"/>
              </w:rPr>
            </w:pPr>
            <w:r>
              <w:rPr>
                <w:rFonts w:ascii="Arial" w:cs="Arial" w:eastAsia="Arial" w:hAnsi="Arial"/>
                <w:sz w:val="13"/>
                <w:szCs w:val="13"/>
                <w:color w:val="auto"/>
              </w:rPr>
              <w:t>535,088</w:t>
            </w:r>
          </w:p>
        </w:tc>
      </w:tr>
      <w:tr>
        <w:trPr>
          <w:trHeight w:val="17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allowance for credit losses</w:t>
            </w:r>
          </w:p>
        </w:tc>
        <w:tc>
          <w:tcPr>
            <w:tcW w:w="47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(7,149)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(7,380)</w:t>
            </w:r>
          </w:p>
        </w:tc>
      </w:tr>
      <w:tr>
        <w:trPr>
          <w:trHeight w:val="182"/>
        </w:trPr>
        <w:tc>
          <w:tcPr>
            <w:tcW w:w="53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1"/>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Accounts receivable, net</w:t>
            </w:r>
          </w:p>
        </w:tc>
        <w:tc>
          <w:tcPr>
            <w:tcW w:w="47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715,271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527,708</w:t>
            </w:r>
          </w:p>
        </w:tc>
      </w:tr>
    </w:tbl>
    <w:p>
      <w:pPr>
        <w:spacing w:after="0" w:line="267" w:lineRule="exact"/>
        <w:rPr>
          <w:sz w:val="20"/>
          <w:szCs w:val="20"/>
          <w:color w:val="auto"/>
        </w:rPr>
      </w:pPr>
    </w:p>
    <w:p>
      <w:pPr>
        <w:jc w:val="both"/>
        <w:ind w:left="80"/>
        <w:spacing w:after="0" w:line="241" w:lineRule="auto"/>
        <w:rPr>
          <w:sz w:val="20"/>
          <w:szCs w:val="20"/>
          <w:color w:val="auto"/>
        </w:rPr>
      </w:pPr>
      <w:r>
        <w:rPr>
          <w:rFonts w:ascii="Arial" w:cs="Arial" w:eastAsia="Arial" w:hAnsi="Arial"/>
          <w:sz w:val="13"/>
          <w:szCs w:val="13"/>
          <w:color w:val="auto"/>
        </w:rPr>
        <w:t>Accounts receivables are amounts due from customers for services performed in the ordinary course of business. They are generally due for settlement within 30-90 days and therefore are all classified as current. Accounts receivable are recognised initially at the amount of consideration that is unconditional. Accounts receivable balances do not contain significant financing components. The Group holds the accounts receivable with the objective to collect the contractual cash flows and therefore measures them subsequently at amortised cost.</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3"/>
          <w:szCs w:val="13"/>
          <w:color w:val="auto"/>
        </w:rPr>
        <w:t>Due to the short-term nature of the current receivables, their carrying amount is considered to be the same as their fair value.</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360"/>
          </w:cols>
          <w:pgMar w:left="220" w:top="696" w:right="3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ind w:left="320" w:hanging="315"/>
        <w:spacing w:after="0"/>
        <w:tabs>
          <w:tab w:leader="none" w:pos="320" w:val="left"/>
        </w:tabs>
        <w:numPr>
          <w:ilvl w:val="0"/>
          <w:numId w:val="104"/>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of financial assets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closing loss allowance for trade receivables and contract assets as at 31 December 2020 and 31 December 2019 reconcile to the opening loss allowances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shd w:val="clear" w:color="auto" w:fill="CCEEFF"/>
          </w:tcPr>
          <w:p>
            <w:pPr>
              <w:spacing w:after="0"/>
              <w:rPr>
                <w:sz w:val="13"/>
                <w:szCs w:val="13"/>
                <w:color w:val="auto"/>
              </w:rPr>
            </w:pPr>
          </w:p>
        </w:tc>
        <w:tc>
          <w:tcPr>
            <w:tcW w:w="370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6380" w:type="dxa"/>
            <w:vAlign w:val="bottom"/>
            <w:tcBorders>
              <w:bottom w:val="single" w:sz="8" w:color="auto"/>
            </w:tcBorders>
            <w:shd w:val="clear" w:color="auto" w:fill="CCEEFF"/>
          </w:tcPr>
          <w:p>
            <w:pPr>
              <w:spacing w:after="0"/>
              <w:rPr>
                <w:sz w:val="14"/>
                <w:szCs w:val="14"/>
                <w:color w:val="auto"/>
              </w:rPr>
            </w:pPr>
          </w:p>
        </w:tc>
        <w:tc>
          <w:tcPr>
            <w:tcW w:w="37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6380" w:type="dxa"/>
            <w:vAlign w:val="bottom"/>
          </w:tcPr>
          <w:p>
            <w:pPr>
              <w:spacing w:after="0"/>
              <w:rPr>
                <w:sz w:val="13"/>
                <w:szCs w:val="13"/>
                <w:color w:val="auto"/>
              </w:rPr>
            </w:pPr>
          </w:p>
        </w:tc>
        <w:tc>
          <w:tcPr>
            <w:tcW w:w="370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63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69"/>
        </w:trPr>
        <w:tc>
          <w:tcPr>
            <w:tcW w:w="6380" w:type="dxa"/>
            <w:vAlign w:val="bottom"/>
          </w:tcPr>
          <w:p>
            <w:pPr>
              <w:ind w:left="20"/>
              <w:spacing w:after="0"/>
              <w:rPr>
                <w:sz w:val="20"/>
                <w:szCs w:val="20"/>
                <w:color w:val="auto"/>
              </w:rPr>
            </w:pPr>
            <w:r>
              <w:rPr>
                <w:rFonts w:ascii="Arial" w:cs="Arial" w:eastAsia="Arial" w:hAnsi="Arial"/>
                <w:sz w:val="13"/>
                <w:szCs w:val="13"/>
                <w:color w:val="auto"/>
              </w:rPr>
              <w:t>Balance at start of year</w:t>
            </w:r>
          </w:p>
        </w:tc>
        <w:tc>
          <w:tcPr>
            <w:tcW w:w="3700" w:type="dxa"/>
            <w:vAlign w:val="bottom"/>
          </w:tcPr>
          <w:p>
            <w:pPr>
              <w:jc w:val="right"/>
              <w:ind w:right="396"/>
              <w:spacing w:after="0"/>
              <w:rPr>
                <w:sz w:val="20"/>
                <w:szCs w:val="20"/>
                <w:color w:val="auto"/>
              </w:rPr>
            </w:pPr>
            <w:r>
              <w:rPr>
                <w:rFonts w:ascii="Arial" w:cs="Arial" w:eastAsia="Arial" w:hAnsi="Arial"/>
                <w:sz w:val="13"/>
                <w:szCs w:val="13"/>
                <w:b w:val="1"/>
                <w:bCs w:val="1"/>
                <w:color w:val="auto"/>
              </w:rPr>
              <w:t>7,380</w:t>
            </w:r>
          </w:p>
        </w:tc>
        <w:tc>
          <w:tcPr>
            <w:tcW w:w="1180" w:type="dxa"/>
            <w:vAlign w:val="bottom"/>
          </w:tcPr>
          <w:p>
            <w:pPr>
              <w:jc w:val="right"/>
              <w:spacing w:after="0"/>
              <w:rPr>
                <w:sz w:val="20"/>
                <w:szCs w:val="20"/>
                <w:color w:val="auto"/>
              </w:rPr>
            </w:pPr>
            <w:r>
              <w:rPr>
                <w:rFonts w:ascii="Arial" w:cs="Arial" w:eastAsia="Arial" w:hAnsi="Arial"/>
                <w:sz w:val="13"/>
                <w:szCs w:val="13"/>
                <w:color w:val="auto"/>
              </w:rPr>
              <w:t>8,889</w:t>
            </w:r>
          </w:p>
        </w:tc>
      </w:tr>
      <w:tr>
        <w:trPr>
          <w:trHeight w:val="170"/>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written off during the year as uncollectible</w:t>
            </w:r>
          </w:p>
        </w:tc>
        <w:tc>
          <w:tcPr>
            <w:tcW w:w="370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(2,561)</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380" w:type="dxa"/>
            <w:vAlign w:val="bottom"/>
          </w:tcPr>
          <w:p>
            <w:pPr>
              <w:ind w:left="20"/>
              <w:spacing w:after="0"/>
              <w:rPr>
                <w:sz w:val="20"/>
                <w:szCs w:val="20"/>
                <w:color w:val="auto"/>
              </w:rPr>
            </w:pPr>
            <w:r>
              <w:rPr>
                <w:rFonts w:ascii="Arial" w:cs="Arial" w:eastAsia="Arial" w:hAnsi="Arial"/>
                <w:sz w:val="13"/>
                <w:szCs w:val="13"/>
                <w:color w:val="auto"/>
              </w:rPr>
              <w:t>Increase in loss allowance recognised in profit or loss during the year</w:t>
            </w:r>
          </w:p>
        </w:tc>
        <w:tc>
          <w:tcPr>
            <w:tcW w:w="3700" w:type="dxa"/>
            <w:vAlign w:val="bottom"/>
          </w:tcPr>
          <w:p>
            <w:pPr>
              <w:jc w:val="right"/>
              <w:ind w:right="396"/>
              <w:spacing w:after="0"/>
              <w:rPr>
                <w:sz w:val="20"/>
                <w:szCs w:val="20"/>
                <w:color w:val="auto"/>
              </w:rPr>
            </w:pPr>
            <w:r>
              <w:rPr>
                <w:rFonts w:ascii="Arial" w:cs="Arial" w:eastAsia="Arial" w:hAnsi="Arial"/>
                <w:sz w:val="13"/>
                <w:szCs w:val="13"/>
                <w:b w:val="1"/>
                <w:bCs w:val="1"/>
                <w:color w:val="auto"/>
              </w:rPr>
              <w:t>2,692</w:t>
            </w:r>
          </w:p>
        </w:tc>
        <w:tc>
          <w:tcPr>
            <w:tcW w:w="1180" w:type="dxa"/>
            <w:vAlign w:val="bottom"/>
          </w:tcPr>
          <w:p>
            <w:pPr>
              <w:jc w:val="right"/>
              <w:spacing w:after="0"/>
              <w:rPr>
                <w:sz w:val="20"/>
                <w:szCs w:val="20"/>
                <w:color w:val="auto"/>
              </w:rPr>
            </w:pPr>
            <w:r>
              <w:rPr>
                <w:rFonts w:ascii="Arial" w:cs="Arial" w:eastAsia="Arial" w:hAnsi="Arial"/>
                <w:sz w:val="13"/>
                <w:szCs w:val="13"/>
                <w:color w:val="auto"/>
              </w:rPr>
              <w:t>1,691</w:t>
            </w:r>
          </w:p>
        </w:tc>
      </w:tr>
      <w:tr>
        <w:trPr>
          <w:trHeight w:val="191"/>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Unused amount reversed</w:t>
            </w:r>
          </w:p>
        </w:tc>
        <w:tc>
          <w:tcPr>
            <w:tcW w:w="370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(510)</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(3,226)</w:t>
            </w:r>
          </w:p>
        </w:tc>
      </w:tr>
      <w:tr>
        <w:trPr>
          <w:trHeight w:val="183"/>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37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148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r>
      <w:tr>
        <w:trPr>
          <w:trHeight w:val="189"/>
        </w:trPr>
        <w:tc>
          <w:tcPr>
            <w:tcW w:w="638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71"/>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end of year</w:t>
            </w:r>
          </w:p>
        </w:tc>
        <w:tc>
          <w:tcPr>
            <w:tcW w:w="37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7,149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7,380</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The Group considered that there was evidence of impairment if any of the following indicators were present:</w:t>
      </w:r>
    </w:p>
    <w:p>
      <w:pPr>
        <w:spacing w:after="0" w:line="189" w:lineRule="exact"/>
        <w:rPr>
          <w:sz w:val="20"/>
          <w:szCs w:val="20"/>
          <w:color w:val="auto"/>
        </w:rPr>
      </w:pPr>
    </w:p>
    <w:p>
      <w:pPr>
        <w:ind w:left="500" w:hanging="240"/>
        <w:spacing w:after="0"/>
        <w:tabs>
          <w:tab w:leader="none" w:pos="5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significant financial difficulties of the debtor</w:t>
      </w:r>
    </w:p>
    <w:p>
      <w:pPr>
        <w:ind w:left="500" w:hanging="240"/>
        <w:spacing w:after="0"/>
        <w:tabs>
          <w:tab w:leader="none" w:pos="5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probability that the debtor will enter a financial restructuring process, and</w:t>
      </w:r>
    </w:p>
    <w:p>
      <w:pPr>
        <w:ind w:left="500" w:hanging="240"/>
        <w:spacing w:after="0"/>
        <w:tabs>
          <w:tab w:leader="none" w:pos="5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default or late payment</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 Receivables for which an impairment provision was recognised were written off against the provision when there was no expectation of recovering additional cash.</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2020, the Group maintained an impairment provision of $7.1 million (2019: $7.4 million).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All receivables are due within twelve months of the year ended 31 December 2020.</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Further analysis of Group’s accounts receivable balances at 31 December 2020 and 31 December 2019 is as follows:</w:t>
      </w:r>
    </w:p>
    <w:tbl>
      <w:tblPr>
        <w:tblLayout w:type="fixed"/>
        <w:tblInd w:w="0" w:type="dxa"/>
        <w:tblCellMar>
          <w:top w:w="0" w:type="dxa"/>
          <w:left w:w="0" w:type="dxa"/>
          <w:bottom w:w="0" w:type="dxa"/>
          <w:right w:w="0" w:type="dxa"/>
        </w:tblCellMar>
      </w:tblPr>
      <w:tr>
        <w:trPr>
          <w:trHeight w:val="146"/>
        </w:trPr>
        <w:tc>
          <w:tcPr>
            <w:tcW w:w="4940" w:type="dxa"/>
            <w:vAlign w:val="bottom"/>
            <w:shd w:val="clear" w:color="auto" w:fill="CCEEFF"/>
          </w:tcPr>
          <w:p>
            <w:pPr>
              <w:spacing w:after="0"/>
              <w:rPr>
                <w:sz w:val="12"/>
                <w:szCs w:val="12"/>
                <w:color w:val="auto"/>
              </w:rPr>
            </w:pPr>
          </w:p>
        </w:tc>
        <w:tc>
          <w:tcPr>
            <w:tcW w:w="5020" w:type="dxa"/>
            <w:vAlign w:val="bottom"/>
            <w:shd w:val="clear" w:color="auto" w:fill="CCEEFF"/>
          </w:tcPr>
          <w:p>
            <w:pPr>
              <w:jc w:val="right"/>
              <w:ind w:right="96"/>
              <w:spacing w:after="0" w:line="146" w:lineRule="exact"/>
              <w:rPr>
                <w:sz w:val="20"/>
                <w:szCs w:val="20"/>
                <w:color w:val="auto"/>
              </w:rPr>
            </w:pPr>
            <w:r>
              <w:rPr>
                <w:rFonts w:ascii="Arial" w:cs="Arial" w:eastAsia="Arial" w:hAnsi="Arial"/>
                <w:sz w:val="13"/>
                <w:szCs w:val="13"/>
                <w:b w:val="1"/>
                <w:bCs w:val="1"/>
                <w:color w:val="auto"/>
              </w:rPr>
              <w:t>Gross</w:t>
            </w:r>
          </w:p>
        </w:tc>
        <w:tc>
          <w:tcPr>
            <w:tcW w:w="13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Gross</w:t>
            </w:r>
          </w:p>
        </w:tc>
      </w:tr>
      <w:tr>
        <w:trPr>
          <w:trHeight w:val="170"/>
        </w:trPr>
        <w:tc>
          <w:tcPr>
            <w:tcW w:w="4940" w:type="dxa"/>
            <w:vAlign w:val="bottom"/>
            <w:shd w:val="clear" w:color="auto" w:fill="CCEEFF"/>
          </w:tcPr>
          <w:p>
            <w:pPr>
              <w:spacing w:after="0"/>
              <w:rPr>
                <w:sz w:val="14"/>
                <w:szCs w:val="14"/>
                <w:color w:val="auto"/>
              </w:rPr>
            </w:pPr>
          </w:p>
        </w:tc>
        <w:tc>
          <w:tcPr>
            <w:tcW w:w="502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accounts receivable</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accounts receivable</w:t>
            </w:r>
          </w:p>
        </w:tc>
      </w:tr>
      <w:tr>
        <w:trPr>
          <w:trHeight w:val="169"/>
        </w:trPr>
        <w:tc>
          <w:tcPr>
            <w:tcW w:w="494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r>
      <w:tr>
        <w:trPr>
          <w:trHeight w:val="161"/>
        </w:trPr>
        <w:tc>
          <w:tcPr>
            <w:tcW w:w="4940" w:type="dxa"/>
            <w:vAlign w:val="bottom"/>
            <w:shd w:val="clear" w:color="auto" w:fill="CCEEFF"/>
          </w:tcPr>
          <w:p>
            <w:pPr>
              <w:spacing w:after="0"/>
              <w:rPr>
                <w:sz w:val="13"/>
                <w:szCs w:val="13"/>
                <w:color w:val="auto"/>
              </w:rPr>
            </w:pPr>
          </w:p>
        </w:tc>
        <w:tc>
          <w:tcPr>
            <w:tcW w:w="502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49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0"/>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 past due</w:t>
            </w:r>
          </w:p>
        </w:tc>
        <w:tc>
          <w:tcPr>
            <w:tcW w:w="502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637,302</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438,472</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Past due 0 to 30 days</w:t>
            </w:r>
          </w:p>
        </w:tc>
        <w:tc>
          <w:tcPr>
            <w:tcW w:w="5020" w:type="dxa"/>
            <w:vAlign w:val="bottom"/>
          </w:tcPr>
          <w:p>
            <w:pPr>
              <w:jc w:val="right"/>
              <w:ind w:right="136"/>
              <w:spacing w:after="0"/>
              <w:rPr>
                <w:sz w:val="20"/>
                <w:szCs w:val="20"/>
                <w:color w:val="auto"/>
              </w:rPr>
            </w:pPr>
            <w:r>
              <w:rPr>
                <w:rFonts w:ascii="Arial" w:cs="Arial" w:eastAsia="Arial" w:hAnsi="Arial"/>
                <w:sz w:val="13"/>
                <w:szCs w:val="13"/>
                <w:b w:val="1"/>
                <w:bCs w:val="1"/>
                <w:color w:val="auto"/>
              </w:rPr>
              <w:t>36,246</w:t>
            </w:r>
          </w:p>
        </w:tc>
        <w:tc>
          <w:tcPr>
            <w:tcW w:w="1300" w:type="dxa"/>
            <w:vAlign w:val="bottom"/>
          </w:tcPr>
          <w:p>
            <w:pPr>
              <w:jc w:val="right"/>
              <w:spacing w:after="0"/>
              <w:rPr>
                <w:sz w:val="20"/>
                <w:szCs w:val="20"/>
                <w:color w:val="auto"/>
              </w:rPr>
            </w:pPr>
            <w:r>
              <w:rPr>
                <w:rFonts w:ascii="Arial" w:cs="Arial" w:eastAsia="Arial" w:hAnsi="Arial"/>
                <w:sz w:val="13"/>
                <w:szCs w:val="13"/>
                <w:color w:val="auto"/>
              </w:rPr>
              <w:t>48,657</w:t>
            </w:r>
          </w:p>
        </w:tc>
      </w:tr>
      <w:tr>
        <w:trPr>
          <w:trHeight w:val="170"/>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 due 31 to 60 days</w:t>
            </w:r>
          </w:p>
        </w:tc>
        <w:tc>
          <w:tcPr>
            <w:tcW w:w="502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13,841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12,779</w:t>
            </w:r>
          </w:p>
        </w:tc>
      </w:tr>
      <w:tr>
        <w:trPr>
          <w:trHeight w:val="16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Past due 61+ days</w:t>
            </w:r>
          </w:p>
        </w:tc>
        <w:tc>
          <w:tcPr>
            <w:tcW w:w="50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35,031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35,180</w:t>
            </w:r>
          </w:p>
        </w:tc>
      </w:tr>
      <w:tr>
        <w:trPr>
          <w:trHeight w:val="192"/>
        </w:trPr>
        <w:tc>
          <w:tcPr>
            <w:tcW w:w="4940" w:type="dxa"/>
            <w:vAlign w:val="bottom"/>
            <w:shd w:val="clear" w:color="auto" w:fill="CCEEFF"/>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Accounts receivable</w:t>
            </w:r>
          </w:p>
        </w:tc>
        <w:tc>
          <w:tcPr>
            <w:tcW w:w="50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722,420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535,088</w:t>
            </w: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696" w:right="3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16.</w:t>
      </w:r>
      <w:r>
        <w:rPr>
          <w:sz w:val="20"/>
          <w:szCs w:val="20"/>
          <w:color w:val="auto"/>
        </w:rPr>
        <w:tab/>
      </w:r>
      <w:r>
        <w:rPr>
          <w:rFonts w:ascii="Arial" w:cs="Arial" w:eastAsia="Arial" w:hAnsi="Arial"/>
          <w:sz w:val="12"/>
          <w:szCs w:val="12"/>
          <w:b w:val="1"/>
          <w:bCs w:val="1"/>
          <w:color w:val="auto"/>
        </w:rPr>
        <w:t>Accounts receivable, unbilled services (contract assets) and unearned revenue (contract liabilities)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The carrying amounts of the Group’s accounts receivables are denominated in the following currencies: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31 December</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69"/>
        </w:trPr>
        <w:tc>
          <w:tcPr>
            <w:tcW w:w="5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2020</w:t>
            </w: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8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9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Currency</w:t>
            </w: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US Dollar</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jc w:val="right"/>
              <w:ind w:right="196"/>
              <w:spacing w:after="0"/>
              <w:rPr>
                <w:sz w:val="20"/>
                <w:szCs w:val="20"/>
                <w:color w:val="auto"/>
              </w:rPr>
            </w:pPr>
            <w:r>
              <w:rPr>
                <w:rFonts w:ascii="Arial" w:cs="Arial" w:eastAsia="Arial" w:hAnsi="Arial"/>
                <w:sz w:val="13"/>
                <w:szCs w:val="13"/>
                <w:b w:val="1"/>
                <w:bCs w:val="1"/>
                <w:color w:val="auto"/>
              </w:rPr>
              <w:t>592,072</w:t>
            </w:r>
          </w:p>
        </w:tc>
        <w:tc>
          <w:tcPr>
            <w:tcW w:w="1260" w:type="dxa"/>
            <w:vAlign w:val="bottom"/>
          </w:tcPr>
          <w:p>
            <w:pPr>
              <w:jc w:val="right"/>
              <w:spacing w:after="0"/>
              <w:rPr>
                <w:sz w:val="20"/>
                <w:szCs w:val="20"/>
                <w:color w:val="auto"/>
              </w:rPr>
            </w:pPr>
            <w:r>
              <w:rPr>
                <w:rFonts w:ascii="Arial" w:cs="Arial" w:eastAsia="Arial" w:hAnsi="Arial"/>
                <w:sz w:val="13"/>
                <w:szCs w:val="13"/>
                <w:color w:val="auto"/>
              </w:rPr>
              <w:t>403,759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w:t>
            </w: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97,918</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86,133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Sterling</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jc w:val="right"/>
              <w:ind w:right="196"/>
              <w:spacing w:after="0"/>
              <w:rPr>
                <w:sz w:val="20"/>
                <w:szCs w:val="20"/>
                <w:color w:val="auto"/>
              </w:rPr>
            </w:pPr>
            <w:r>
              <w:rPr>
                <w:rFonts w:ascii="Arial" w:cs="Arial" w:eastAsia="Arial" w:hAnsi="Arial"/>
                <w:sz w:val="13"/>
                <w:szCs w:val="13"/>
                <w:b w:val="1"/>
                <w:bCs w:val="1"/>
                <w:color w:val="auto"/>
              </w:rPr>
              <w:t>8,489</w:t>
            </w:r>
          </w:p>
        </w:tc>
        <w:tc>
          <w:tcPr>
            <w:tcW w:w="1260" w:type="dxa"/>
            <w:vAlign w:val="bottom"/>
          </w:tcPr>
          <w:p>
            <w:pPr>
              <w:jc w:val="right"/>
              <w:spacing w:after="0"/>
              <w:rPr>
                <w:sz w:val="20"/>
                <w:szCs w:val="20"/>
                <w:color w:val="auto"/>
              </w:rPr>
            </w:pPr>
            <w:r>
              <w:rPr>
                <w:rFonts w:ascii="Arial" w:cs="Arial" w:eastAsia="Arial" w:hAnsi="Arial"/>
                <w:sz w:val="13"/>
                <w:szCs w:val="13"/>
                <w:color w:val="auto"/>
              </w:rPr>
              <w:t>15,077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currencies</w:t>
            </w: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16,792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22,739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715,271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527,708</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9"/>
        </w:trPr>
        <w:tc>
          <w:tcPr>
            <w:tcW w:w="5140" w:type="dxa"/>
            <w:vAlign w:val="bottom"/>
          </w:tcPr>
          <w:p>
            <w:pPr>
              <w:spacing w:after="0"/>
              <w:rPr>
                <w:sz w:val="20"/>
                <w:szCs w:val="20"/>
                <w:color w:val="auto"/>
              </w:rPr>
            </w:pPr>
            <w:r>
              <w:rPr>
                <w:rFonts w:ascii="Arial" w:cs="Arial" w:eastAsia="Arial" w:hAnsi="Arial"/>
                <w:sz w:val="13"/>
                <w:szCs w:val="13"/>
                <w:color w:val="auto"/>
              </w:rPr>
              <w:t>Accounts receivables and unbilled revenue are as follows: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5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5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50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31 December</w:t>
            </w:r>
          </w:p>
        </w:tc>
        <w:tc>
          <w:tcPr>
            <w:tcW w:w="12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Billed services (accounts receivable)</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jc w:val="right"/>
              <w:ind w:right="196"/>
              <w:spacing w:after="0"/>
              <w:rPr>
                <w:sz w:val="20"/>
                <w:szCs w:val="20"/>
                <w:color w:val="auto"/>
              </w:rPr>
            </w:pPr>
            <w:r>
              <w:rPr>
                <w:rFonts w:ascii="Arial" w:cs="Arial" w:eastAsia="Arial" w:hAnsi="Arial"/>
                <w:sz w:val="13"/>
                <w:szCs w:val="13"/>
                <w:b w:val="1"/>
                <w:bCs w:val="1"/>
                <w:color w:val="auto"/>
              </w:rPr>
              <w:t>722,420</w:t>
            </w:r>
          </w:p>
        </w:tc>
        <w:tc>
          <w:tcPr>
            <w:tcW w:w="1260" w:type="dxa"/>
            <w:vAlign w:val="bottom"/>
          </w:tcPr>
          <w:p>
            <w:pPr>
              <w:jc w:val="right"/>
              <w:spacing w:after="0"/>
              <w:rPr>
                <w:sz w:val="20"/>
                <w:szCs w:val="20"/>
                <w:color w:val="auto"/>
              </w:rPr>
            </w:pPr>
            <w:r>
              <w:rPr>
                <w:rFonts w:ascii="Arial" w:cs="Arial" w:eastAsia="Arial" w:hAnsi="Arial"/>
                <w:sz w:val="13"/>
                <w:szCs w:val="13"/>
                <w:color w:val="auto"/>
              </w:rPr>
              <w:t>535,088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428,684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422,769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40" w:type="dxa"/>
            <w:vAlign w:val="bottom"/>
          </w:tcPr>
          <w:p>
            <w:pPr>
              <w:ind w:left="20"/>
              <w:spacing w:after="0"/>
              <w:rPr>
                <w:sz w:val="20"/>
                <w:szCs w:val="20"/>
                <w:color w:val="auto"/>
              </w:rPr>
            </w:pPr>
            <w:r>
              <w:rPr>
                <w:rFonts w:ascii="Arial" w:cs="Arial" w:eastAsia="Arial" w:hAnsi="Arial"/>
                <w:sz w:val="13"/>
                <w:szCs w:val="13"/>
                <w:color w:val="auto"/>
              </w:rPr>
              <w:t>Trade accounts receivable and unbilled revenue</w:t>
            </w: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00" w:type="dxa"/>
            <w:vAlign w:val="bottom"/>
          </w:tcPr>
          <w:p>
            <w:pPr>
              <w:jc w:val="right"/>
              <w:ind w:right="196"/>
              <w:spacing w:after="0"/>
              <w:rPr>
                <w:sz w:val="20"/>
                <w:szCs w:val="20"/>
                <w:color w:val="auto"/>
              </w:rPr>
            </w:pPr>
            <w:r>
              <w:rPr>
                <w:rFonts w:ascii="Arial" w:cs="Arial" w:eastAsia="Arial" w:hAnsi="Arial"/>
                <w:sz w:val="13"/>
                <w:szCs w:val="13"/>
                <w:b w:val="1"/>
                <w:bCs w:val="1"/>
                <w:color w:val="auto"/>
              </w:rPr>
              <w:t>1,151,104</w:t>
            </w:r>
          </w:p>
        </w:tc>
        <w:tc>
          <w:tcPr>
            <w:tcW w:w="1260" w:type="dxa"/>
            <w:vAlign w:val="bottom"/>
          </w:tcPr>
          <w:p>
            <w:pPr>
              <w:jc w:val="right"/>
              <w:spacing w:after="0"/>
              <w:rPr>
                <w:sz w:val="20"/>
                <w:szCs w:val="20"/>
                <w:color w:val="auto"/>
              </w:rPr>
            </w:pPr>
            <w:r>
              <w:rPr>
                <w:rFonts w:ascii="Arial" w:cs="Arial" w:eastAsia="Arial" w:hAnsi="Arial"/>
                <w:sz w:val="13"/>
                <w:szCs w:val="13"/>
                <w:color w:val="auto"/>
              </w:rPr>
              <w:t>957,857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Allowance for for credit losses</w:t>
            </w: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(7,149)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Trade accounts receivable and unbilled revenue, net</w:t>
            </w: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1,143,955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950,477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140" w:type="dxa"/>
            <w:vAlign w:val="bottom"/>
          </w:tcPr>
          <w:p>
            <w:pPr>
              <w:spacing w:after="0"/>
              <w:rPr>
                <w:sz w:val="20"/>
                <w:szCs w:val="20"/>
                <w:color w:val="auto"/>
              </w:rPr>
            </w:pPr>
            <w:r>
              <w:rPr>
                <w:rFonts w:ascii="Arial" w:cs="Arial" w:eastAsia="Arial" w:hAnsi="Arial"/>
                <w:sz w:val="13"/>
                <w:szCs w:val="13"/>
                <w:color w:val="auto"/>
              </w:rPr>
              <w:t>Unbilled services and unearned revenue (contract assets and liabilities) were as follows: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5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5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31 December</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color w:val="auto"/>
              </w:rPr>
              <w:t>31 December</w:t>
            </w:r>
          </w:p>
        </w:tc>
        <w:tc>
          <w:tcPr>
            <w:tcW w:w="1500" w:type="dxa"/>
            <w:vAlign w:val="bottom"/>
            <w:vMerge w:val="restart"/>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 Change</w:t>
            </w:r>
          </w:p>
        </w:tc>
        <w:tc>
          <w:tcPr>
            <w:tcW w:w="1260" w:type="dxa"/>
            <w:vAlign w:val="bottom"/>
            <w:vMerge w:val="restart"/>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 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2019</w:t>
            </w: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400" w:type="dxa"/>
            <w:vAlign w:val="bottom"/>
          </w:tcPr>
          <w:p>
            <w:pPr>
              <w:spacing w:after="0"/>
              <w:rPr>
                <w:sz w:val="13"/>
                <w:szCs w:val="13"/>
                <w:color w:val="auto"/>
              </w:rPr>
            </w:pPr>
          </w:p>
        </w:tc>
        <w:tc>
          <w:tcPr>
            <w:tcW w:w="1280" w:type="dxa"/>
            <w:vAlign w:val="bottom"/>
          </w:tcPr>
          <w:p>
            <w:pPr>
              <w:jc w:val="right"/>
              <w:ind w:right="176"/>
              <w:spacing w:after="0"/>
              <w:rPr>
                <w:sz w:val="20"/>
                <w:szCs w:val="20"/>
                <w:color w:val="auto"/>
              </w:rPr>
            </w:pPr>
            <w:r>
              <w:rPr>
                <w:rFonts w:ascii="Arial" w:cs="Arial" w:eastAsia="Arial" w:hAnsi="Arial"/>
                <w:sz w:val="13"/>
                <w:szCs w:val="13"/>
                <w:color w:val="auto"/>
              </w:rPr>
              <w:t>$’000</w:t>
            </w:r>
          </w:p>
        </w:tc>
        <w:tc>
          <w:tcPr>
            <w:tcW w:w="1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54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428,684</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422,769</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5,915</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Unearned revenue (payments on account)</w:t>
            </w: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(660,883)</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(366,988)</w:t>
            </w: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(293,895)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(232,199)</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55,781</w:t>
            </w:r>
          </w:p>
        </w:tc>
        <w:tc>
          <w:tcPr>
            <w:tcW w:w="15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(287,980)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receivables and therefore contract assets rather than accounts receivables when receipt of the consideration is conditional on something other than the passage of time. Liabilities are recorded for amounts that are collected in advance of the satisfaction of performance obligations.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ICON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Reimbursable expenses are included within direct costs and are recorded based on activity undertaken by the third-party. Amounts owed to investigators and others in respect of reimbursable expenses was $138.2 million at 31 December 2020 and $142.6 million at 31 December 2019 (see </w:t>
      </w:r>
      <w:r>
        <w:rPr>
          <w:rFonts w:ascii="Arial" w:cs="Arial" w:eastAsia="Arial" w:hAnsi="Arial"/>
          <w:sz w:val="13"/>
          <w:szCs w:val="13"/>
          <w:i w:val="1"/>
          <w:iCs w:val="1"/>
          <w:color w:val="auto"/>
        </w:rPr>
        <w:t>note 20 Accrued and</w:t>
      </w:r>
      <w:r>
        <w:rPr>
          <w:rFonts w:ascii="Arial" w:cs="Arial" w:eastAsia="Arial" w:hAnsi="Arial"/>
          <w:sz w:val="13"/>
          <w:szCs w:val="13"/>
          <w:color w:val="auto"/>
        </w:rPr>
        <w:t xml:space="preserve"> </w:t>
      </w:r>
      <w:r>
        <w:rPr>
          <w:rFonts w:ascii="Arial" w:cs="Arial" w:eastAsia="Arial" w:hAnsi="Arial"/>
          <w:sz w:val="13"/>
          <w:szCs w:val="13"/>
          <w:i w:val="1"/>
          <w:iCs w:val="1"/>
          <w:color w:val="auto"/>
        </w:rPr>
        <w:t>Other liabilities</w:t>
      </w:r>
      <w:r>
        <w:rPr>
          <w:rFonts w:ascii="Arial" w:cs="Arial" w:eastAsia="Arial" w:hAnsi="Arial"/>
          <w:sz w:val="13"/>
          <w:szCs w:val="13"/>
          <w:color w:val="auto"/>
        </w:rPr>
        <w: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80"/>
          </w:cols>
          <w:pgMar w:left="300" w:top="696" w:right="3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ind w:left="320" w:hanging="315"/>
        <w:spacing w:after="0"/>
        <w:tabs>
          <w:tab w:leader="none" w:pos="32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rPr>
          <w:sz w:val="20"/>
          <w:szCs w:val="20"/>
          <w:color w:val="auto"/>
        </w:rPr>
      </w:pPr>
      <w:r>
        <w:rPr>
          <w:rFonts w:ascii="Arial" w:cs="Arial" w:eastAsia="Arial" w:hAnsi="Arial"/>
          <w:sz w:val="13"/>
          <w:szCs w:val="13"/>
          <w:color w:val="auto"/>
        </w:rPr>
        <w:t>Payments on account or unearned revenue increased by $293.9 million resulting in an increase of $288.0 million in the net balance of unbilled services and unearned revenue between 31 December 2019 and 31 December 2020.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 when a cost-based input method of revenue recognition is applied and revenue recognised exceeds the amount billed to the customer.</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credit loss expense recognised on the Group's receivables and unbilled services was $2.9 million (2019: $0.4 million) for the twelve months ended 31 December 2020.</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of 31 December 2020 approximately $6.3 billion (2019: $5.3 billion) of revenue is expected to be recognised in the future in respect of unsatisfied performance obligations. The Company expects to recognise revenue on approximately 42% (2019: 48%) of the unrealised performance obligation over the next 12 months, with the remainder recognised thereafter over the duration of the customer contracts.</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17.</w:t>
      </w:r>
      <w:r>
        <w:rPr>
          <w:sz w:val="20"/>
          <w:szCs w:val="20"/>
          <w:color w:val="auto"/>
        </w:rPr>
        <w:tab/>
      </w:r>
      <w:r>
        <w:rPr>
          <w:rFonts w:ascii="Arial" w:cs="Arial" w:eastAsia="Arial" w:hAnsi="Arial"/>
          <w:sz w:val="12"/>
          <w:szCs w:val="12"/>
          <w:b w:val="1"/>
          <w:bCs w:val="1"/>
          <w:color w:val="auto"/>
        </w:rPr>
        <w:t>Other assets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shd w:val="clear" w:color="auto" w:fill="CCEEFF"/>
          </w:tcPr>
          <w:p>
            <w:pPr>
              <w:spacing w:after="0"/>
              <w:rPr>
                <w:sz w:val="13"/>
                <w:szCs w:val="13"/>
                <w:color w:val="auto"/>
              </w:rPr>
            </w:pPr>
          </w:p>
        </w:tc>
        <w:tc>
          <w:tcPr>
            <w:tcW w:w="44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720" w:type="dxa"/>
            <w:vAlign w:val="bottom"/>
            <w:tcBorders>
              <w:bottom w:val="single" w:sz="8" w:color="auto"/>
            </w:tcBorders>
            <w:shd w:val="clear" w:color="auto" w:fill="CCEEFF"/>
          </w:tcPr>
          <w:p>
            <w:pPr>
              <w:spacing w:after="0"/>
              <w:rPr>
                <w:sz w:val="14"/>
                <w:szCs w:val="14"/>
                <w:color w:val="auto"/>
              </w:rPr>
            </w:pPr>
          </w:p>
        </w:tc>
        <w:tc>
          <w:tcPr>
            <w:tcW w:w="44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720" w:type="dxa"/>
            <w:vAlign w:val="bottom"/>
          </w:tcPr>
          <w:p>
            <w:pPr>
              <w:spacing w:after="0"/>
              <w:rPr>
                <w:sz w:val="13"/>
                <w:szCs w:val="13"/>
                <w:color w:val="auto"/>
              </w:rPr>
            </w:pPr>
          </w:p>
        </w:tc>
        <w:tc>
          <w:tcPr>
            <w:tcW w:w="44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assets</w:t>
            </w:r>
          </w:p>
        </w:tc>
        <w:tc>
          <w:tcPr>
            <w:tcW w:w="4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9"/>
        </w:trPr>
        <w:tc>
          <w:tcPr>
            <w:tcW w:w="5720" w:type="dxa"/>
            <w:vAlign w:val="bottom"/>
          </w:tcPr>
          <w:p>
            <w:pPr>
              <w:ind w:left="20"/>
              <w:spacing w:after="0"/>
              <w:rPr>
                <w:sz w:val="20"/>
                <w:szCs w:val="20"/>
                <w:color w:val="auto"/>
              </w:rPr>
            </w:pPr>
            <w:r>
              <w:rPr>
                <w:rFonts w:ascii="Arial" w:cs="Arial" w:eastAsia="Arial" w:hAnsi="Arial"/>
                <w:sz w:val="13"/>
                <w:szCs w:val="13"/>
                <w:color w:val="auto"/>
              </w:rPr>
              <w:t>Lease deposits</w:t>
            </w:r>
          </w:p>
        </w:tc>
        <w:tc>
          <w:tcPr>
            <w:tcW w:w="4420" w:type="dxa"/>
            <w:vAlign w:val="bottom"/>
          </w:tcPr>
          <w:p>
            <w:pPr>
              <w:jc w:val="right"/>
              <w:ind w:right="336"/>
              <w:spacing w:after="0"/>
              <w:rPr>
                <w:sz w:val="20"/>
                <w:szCs w:val="20"/>
                <w:color w:val="auto"/>
              </w:rPr>
            </w:pPr>
            <w:r>
              <w:rPr>
                <w:rFonts w:ascii="Arial" w:cs="Arial" w:eastAsia="Arial" w:hAnsi="Arial"/>
                <w:sz w:val="13"/>
                <w:szCs w:val="13"/>
                <w:b w:val="1"/>
                <w:bCs w:val="1"/>
                <w:color w:val="auto"/>
              </w:rPr>
              <w:t>8,437</w:t>
            </w:r>
          </w:p>
        </w:tc>
        <w:tc>
          <w:tcPr>
            <w:tcW w:w="1140" w:type="dxa"/>
            <w:vAlign w:val="bottom"/>
          </w:tcPr>
          <w:p>
            <w:pPr>
              <w:jc w:val="right"/>
              <w:spacing w:after="0"/>
              <w:rPr>
                <w:sz w:val="20"/>
                <w:szCs w:val="20"/>
                <w:color w:val="auto"/>
              </w:rPr>
            </w:pPr>
            <w:r>
              <w:rPr>
                <w:rFonts w:ascii="Arial" w:cs="Arial" w:eastAsia="Arial" w:hAnsi="Arial"/>
                <w:sz w:val="13"/>
                <w:szCs w:val="13"/>
                <w:color w:val="auto"/>
              </w:rPr>
              <w:t>8,717</w:t>
            </w:r>
          </w:p>
        </w:tc>
      </w:tr>
      <w:tr>
        <w:trPr>
          <w:trHeight w:val="17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assets</w:t>
            </w:r>
          </w:p>
        </w:tc>
        <w:tc>
          <w:tcPr>
            <w:tcW w:w="44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18,465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16,024</w:t>
            </w:r>
          </w:p>
        </w:tc>
      </w:tr>
      <w:tr>
        <w:trPr>
          <w:trHeight w:val="150"/>
        </w:trPr>
        <w:tc>
          <w:tcPr>
            <w:tcW w:w="57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4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26,902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24,741</w:t>
            </w:r>
          </w:p>
        </w:tc>
      </w:tr>
    </w:tbl>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shd w:val="clear" w:color="auto" w:fill="CCEEFF"/>
          </w:tcPr>
          <w:p>
            <w:pPr>
              <w:spacing w:after="0"/>
              <w:rPr>
                <w:sz w:val="13"/>
                <w:szCs w:val="13"/>
                <w:color w:val="auto"/>
              </w:rPr>
            </w:pPr>
          </w:p>
        </w:tc>
        <w:tc>
          <w:tcPr>
            <w:tcW w:w="41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980" w:type="dxa"/>
            <w:vAlign w:val="bottom"/>
            <w:tcBorders>
              <w:bottom w:val="single" w:sz="8" w:color="auto"/>
            </w:tcBorders>
            <w:shd w:val="clear" w:color="auto" w:fill="CCEEFF"/>
          </w:tcPr>
          <w:p>
            <w:pPr>
              <w:spacing w:after="0"/>
              <w:rPr>
                <w:sz w:val="14"/>
                <w:szCs w:val="14"/>
                <w:color w:val="auto"/>
              </w:rPr>
            </w:pPr>
          </w:p>
        </w:tc>
        <w:tc>
          <w:tcPr>
            <w:tcW w:w="41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980" w:type="dxa"/>
            <w:vAlign w:val="bottom"/>
          </w:tcPr>
          <w:p>
            <w:pPr>
              <w:spacing w:after="0"/>
              <w:rPr>
                <w:sz w:val="13"/>
                <w:szCs w:val="13"/>
                <w:color w:val="auto"/>
              </w:rPr>
            </w:pPr>
          </w:p>
        </w:tc>
        <w:tc>
          <w:tcPr>
            <w:tcW w:w="41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current assets</w:t>
            </w:r>
          </w:p>
        </w:tc>
        <w:tc>
          <w:tcPr>
            <w:tcW w:w="4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9"/>
        </w:trPr>
        <w:tc>
          <w:tcPr>
            <w:tcW w:w="5980" w:type="dxa"/>
            <w:vAlign w:val="bottom"/>
          </w:tcPr>
          <w:p>
            <w:pPr>
              <w:ind w:left="20"/>
              <w:spacing w:after="0"/>
              <w:rPr>
                <w:sz w:val="20"/>
                <w:szCs w:val="20"/>
                <w:color w:val="auto"/>
              </w:rPr>
            </w:pPr>
            <w:r>
              <w:rPr>
                <w:rFonts w:ascii="Arial" w:cs="Arial" w:eastAsia="Arial" w:hAnsi="Arial"/>
                <w:sz w:val="13"/>
                <w:szCs w:val="13"/>
                <w:color w:val="auto"/>
              </w:rPr>
              <w:t>Personnel related prepayments</w:t>
            </w:r>
          </w:p>
        </w:tc>
        <w:tc>
          <w:tcPr>
            <w:tcW w:w="4160" w:type="dxa"/>
            <w:vAlign w:val="bottom"/>
          </w:tcPr>
          <w:p>
            <w:pPr>
              <w:jc w:val="right"/>
              <w:ind w:right="336"/>
              <w:spacing w:after="0"/>
              <w:rPr>
                <w:sz w:val="20"/>
                <w:szCs w:val="20"/>
                <w:color w:val="auto"/>
              </w:rPr>
            </w:pPr>
            <w:r>
              <w:rPr>
                <w:rFonts w:ascii="Arial" w:cs="Arial" w:eastAsia="Arial" w:hAnsi="Arial"/>
                <w:sz w:val="13"/>
                <w:szCs w:val="13"/>
                <w:b w:val="1"/>
                <w:bCs w:val="1"/>
                <w:color w:val="auto"/>
              </w:rPr>
              <w:t>1,615</w:t>
            </w:r>
          </w:p>
        </w:tc>
        <w:tc>
          <w:tcPr>
            <w:tcW w:w="1140" w:type="dxa"/>
            <w:vAlign w:val="bottom"/>
          </w:tcPr>
          <w:p>
            <w:pPr>
              <w:jc w:val="right"/>
              <w:spacing w:after="0"/>
              <w:rPr>
                <w:sz w:val="20"/>
                <w:szCs w:val="20"/>
                <w:color w:val="auto"/>
              </w:rPr>
            </w:pPr>
            <w:r>
              <w:rPr>
                <w:rFonts w:ascii="Arial" w:cs="Arial" w:eastAsia="Arial" w:hAnsi="Arial"/>
                <w:sz w:val="13"/>
                <w:szCs w:val="13"/>
                <w:color w:val="auto"/>
              </w:rPr>
              <w:t>903</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and information system related prepayments</w:t>
            </w:r>
          </w:p>
        </w:tc>
        <w:tc>
          <w:tcPr>
            <w:tcW w:w="41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25,360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23,886</w:t>
            </w:r>
          </w:p>
        </w:tc>
      </w:tr>
      <w:tr>
        <w:trPr>
          <w:trHeight w:val="169"/>
        </w:trPr>
        <w:tc>
          <w:tcPr>
            <w:tcW w:w="5980" w:type="dxa"/>
            <w:vAlign w:val="bottom"/>
          </w:tcPr>
          <w:p>
            <w:pPr>
              <w:ind w:left="20"/>
              <w:spacing w:after="0"/>
              <w:rPr>
                <w:sz w:val="20"/>
                <w:szCs w:val="20"/>
                <w:color w:val="auto"/>
              </w:rPr>
            </w:pPr>
            <w:r>
              <w:rPr>
                <w:rFonts w:ascii="Arial" w:cs="Arial" w:eastAsia="Arial" w:hAnsi="Arial"/>
                <w:sz w:val="13"/>
                <w:szCs w:val="13"/>
                <w:color w:val="auto"/>
              </w:rPr>
              <w:t>General overhead prepayments</w:t>
            </w:r>
          </w:p>
        </w:tc>
        <w:tc>
          <w:tcPr>
            <w:tcW w:w="4160" w:type="dxa"/>
            <w:vAlign w:val="bottom"/>
          </w:tcPr>
          <w:p>
            <w:pPr>
              <w:jc w:val="right"/>
              <w:ind w:right="336"/>
              <w:spacing w:after="0"/>
              <w:rPr>
                <w:sz w:val="20"/>
                <w:szCs w:val="20"/>
                <w:color w:val="auto"/>
              </w:rPr>
            </w:pPr>
            <w:r>
              <w:rPr>
                <w:rFonts w:ascii="Arial" w:cs="Arial" w:eastAsia="Arial" w:hAnsi="Arial"/>
                <w:sz w:val="13"/>
                <w:szCs w:val="13"/>
                <w:b w:val="1"/>
                <w:bCs w:val="1"/>
                <w:color w:val="auto"/>
              </w:rPr>
              <w:t>15,488</w:t>
            </w:r>
          </w:p>
        </w:tc>
        <w:tc>
          <w:tcPr>
            <w:tcW w:w="1140" w:type="dxa"/>
            <w:vAlign w:val="bottom"/>
          </w:tcPr>
          <w:p>
            <w:pPr>
              <w:jc w:val="right"/>
              <w:spacing w:after="0"/>
              <w:rPr>
                <w:sz w:val="20"/>
                <w:szCs w:val="20"/>
                <w:color w:val="auto"/>
              </w:rPr>
            </w:pPr>
            <w:r>
              <w:rPr>
                <w:rFonts w:ascii="Arial" w:cs="Arial" w:eastAsia="Arial" w:hAnsi="Arial"/>
                <w:sz w:val="13"/>
                <w:szCs w:val="13"/>
                <w:color w:val="auto"/>
              </w:rPr>
              <w:t>8,602</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tax recoverable</w:t>
            </w:r>
          </w:p>
        </w:tc>
        <w:tc>
          <w:tcPr>
            <w:tcW w:w="41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11,878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14,665</w:t>
            </w:r>
          </w:p>
        </w:tc>
      </w:tr>
      <w:tr>
        <w:trPr>
          <w:trHeight w:val="16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1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23,596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22,269</w:t>
            </w:r>
          </w:p>
        </w:tc>
      </w:tr>
      <w:tr>
        <w:trPr>
          <w:trHeight w:val="150"/>
        </w:trPr>
        <w:tc>
          <w:tcPr>
            <w:tcW w:w="598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1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77,937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70,325</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Other current assets do not contain any impaired assets. The maximum exposure to credit risk at the reporting date is the carrying value of each receivable, other than prepayments which do not have credit risk. The Group does not hold any collateral as security.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80"/>
          </w:cols>
          <w:pgMar w:left="300" w:top="696" w:right="319" w:bottom="1440" w:gutter="0" w:footer="0" w:header="0"/>
        </w:sectPr>
      </w:pPr>
    </w:p>
    <w:bookmarkStart w:id="115" w:name="page116"/>
    <w:bookmarkEnd w:id="115"/>
    <w:p>
      <w:pPr>
        <w:ind w:left="80"/>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18. Financial asset investments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(a) Current asset investments - fair value through OCI</w:t>
            </w:r>
          </w:p>
        </w:tc>
        <w:tc>
          <w:tcPr>
            <w:tcW w:w="38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7"/>
        </w:trPr>
        <w:tc>
          <w:tcPr>
            <w:tcW w:w="12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spacing w:after="0"/>
              <w:rPr>
                <w:sz w:val="15"/>
                <w:szCs w:val="15"/>
                <w:color w:val="auto"/>
              </w:rPr>
            </w:pPr>
          </w:p>
        </w:tc>
        <w:tc>
          <w:tcPr>
            <w:tcW w:w="38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2019</w:t>
            </w:r>
          </w:p>
        </w:tc>
      </w:tr>
      <w:tr>
        <w:trPr>
          <w:trHeight w:val="160"/>
        </w:trPr>
        <w:tc>
          <w:tcPr>
            <w:tcW w:w="1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8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120" w:type="dxa"/>
            <w:vAlign w:val="bottom"/>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69"/>
        </w:trPr>
        <w:tc>
          <w:tcPr>
            <w:tcW w:w="5920" w:type="dxa"/>
            <w:vAlign w:val="bottom"/>
            <w:gridSpan w:val="2"/>
          </w:tcPr>
          <w:p>
            <w:pPr>
              <w:spacing w:after="0"/>
              <w:rPr>
                <w:sz w:val="20"/>
                <w:szCs w:val="20"/>
                <w:color w:val="auto"/>
              </w:rPr>
            </w:pPr>
            <w:r>
              <w:rPr>
                <w:rFonts w:ascii="Arial" w:cs="Arial" w:eastAsia="Arial" w:hAnsi="Arial"/>
                <w:sz w:val="13"/>
                <w:szCs w:val="13"/>
                <w:color w:val="auto"/>
              </w:rPr>
              <w:t>start of year</w:t>
            </w:r>
          </w:p>
        </w:tc>
        <w:tc>
          <w:tcPr>
            <w:tcW w:w="3880" w:type="dxa"/>
            <w:vAlign w:val="bottom"/>
          </w:tcPr>
          <w:p>
            <w:pPr>
              <w:jc w:val="right"/>
              <w:ind w:right="176"/>
              <w:spacing w:after="0"/>
              <w:rPr>
                <w:sz w:val="20"/>
                <w:szCs w:val="20"/>
                <w:color w:val="auto"/>
              </w:rPr>
            </w:pPr>
            <w:r>
              <w:rPr>
                <w:rFonts w:ascii="Arial" w:cs="Arial" w:eastAsia="Arial" w:hAnsi="Arial"/>
                <w:sz w:val="13"/>
                <w:szCs w:val="13"/>
                <w:b w:val="1"/>
                <w:bCs w:val="1"/>
                <w:color w:val="auto"/>
              </w:rPr>
              <w:t>49,628</w:t>
            </w:r>
          </w:p>
        </w:tc>
        <w:tc>
          <w:tcPr>
            <w:tcW w:w="1280" w:type="dxa"/>
            <w:vAlign w:val="bottom"/>
          </w:tcPr>
          <w:p>
            <w:pPr>
              <w:jc w:val="right"/>
              <w:spacing w:after="0"/>
              <w:rPr>
                <w:sz w:val="20"/>
                <w:szCs w:val="20"/>
                <w:color w:val="auto"/>
              </w:rPr>
            </w:pPr>
            <w:r>
              <w:rPr>
                <w:rFonts w:ascii="Arial" w:cs="Arial" w:eastAsia="Arial" w:hAnsi="Arial"/>
                <w:sz w:val="13"/>
                <w:szCs w:val="13"/>
                <w:color w:val="auto"/>
              </w:rPr>
              <w:t>59,910</w:t>
            </w:r>
          </w:p>
        </w:tc>
      </w:tr>
      <w:tr>
        <w:trPr>
          <w:trHeight w:val="169"/>
        </w:trPr>
        <w:tc>
          <w:tcPr>
            <w:tcW w:w="5920" w:type="dxa"/>
            <w:vAlign w:val="bottom"/>
            <w:gridSpan w:val="2"/>
          </w:tcPr>
          <w:p>
            <w:pPr>
              <w:spacing w:after="0"/>
              <w:rPr>
                <w:sz w:val="20"/>
                <w:szCs w:val="20"/>
                <w:color w:val="auto"/>
              </w:rPr>
            </w:pPr>
            <w:r>
              <w:rPr>
                <w:rFonts w:ascii="Arial" w:cs="Arial" w:eastAsia="Arial" w:hAnsi="Arial"/>
                <w:sz w:val="13"/>
                <w:szCs w:val="13"/>
                <w:color w:val="auto"/>
              </w:rPr>
              <w:t>ditions</w:t>
            </w:r>
          </w:p>
        </w:tc>
        <w:tc>
          <w:tcPr>
            <w:tcW w:w="3880" w:type="dxa"/>
            <w:vAlign w:val="bottom"/>
          </w:tcPr>
          <w:p>
            <w:pPr>
              <w:jc w:val="right"/>
              <w:ind w:right="176"/>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9,603</w:t>
            </w:r>
          </w:p>
        </w:tc>
      </w:tr>
      <w:tr>
        <w:trPr>
          <w:trHeight w:val="169"/>
        </w:trPr>
        <w:tc>
          <w:tcPr>
            <w:tcW w:w="5920" w:type="dxa"/>
            <w:vAlign w:val="bottom"/>
            <w:gridSpan w:val="2"/>
          </w:tcPr>
          <w:p>
            <w:pPr>
              <w:ind w:left="20"/>
              <w:spacing w:after="0"/>
              <w:rPr>
                <w:sz w:val="20"/>
                <w:szCs w:val="20"/>
                <w:color w:val="auto"/>
              </w:rPr>
            </w:pPr>
            <w:r>
              <w:rPr>
                <w:rFonts w:ascii="Arial" w:cs="Arial" w:eastAsia="Arial" w:hAnsi="Arial"/>
                <w:sz w:val="13"/>
                <w:szCs w:val="13"/>
                <w:color w:val="auto"/>
              </w:rPr>
              <w:t>posals/maturities</w:t>
            </w:r>
          </w:p>
        </w:tc>
        <w:tc>
          <w:tcPr>
            <w:tcW w:w="3880" w:type="dxa"/>
            <w:vAlign w:val="bottom"/>
          </w:tcPr>
          <w:p>
            <w:pPr>
              <w:jc w:val="right"/>
              <w:ind w:right="136"/>
              <w:spacing w:after="0"/>
              <w:rPr>
                <w:sz w:val="20"/>
                <w:szCs w:val="20"/>
                <w:color w:val="auto"/>
              </w:rPr>
            </w:pPr>
            <w:r>
              <w:rPr>
                <w:rFonts w:ascii="Arial" w:cs="Arial" w:eastAsia="Arial" w:hAnsi="Arial"/>
                <w:sz w:val="13"/>
                <w:szCs w:val="13"/>
                <w:b w:val="1"/>
                <w:bCs w:val="1"/>
                <w:color w:val="auto"/>
              </w:rPr>
              <w:t>(47,902)</w:t>
            </w:r>
          </w:p>
        </w:tc>
        <w:tc>
          <w:tcPr>
            <w:tcW w:w="1280" w:type="dxa"/>
            <w:vAlign w:val="bottom"/>
          </w:tcPr>
          <w:p>
            <w:pPr>
              <w:jc w:val="right"/>
              <w:spacing w:after="0"/>
              <w:rPr>
                <w:sz w:val="20"/>
                <w:szCs w:val="20"/>
                <w:color w:val="auto"/>
              </w:rPr>
            </w:pPr>
            <w:r>
              <w:rPr>
                <w:rFonts w:ascii="Arial" w:cs="Arial" w:eastAsia="Arial" w:hAnsi="Arial"/>
                <w:sz w:val="13"/>
                <w:szCs w:val="13"/>
                <w:color w:val="auto"/>
              </w:rPr>
              <w:t>(21,686)</w:t>
            </w:r>
          </w:p>
        </w:tc>
      </w:tr>
      <w:tr>
        <w:trPr>
          <w:trHeight w:val="169"/>
        </w:trPr>
        <w:tc>
          <w:tcPr>
            <w:tcW w:w="5920" w:type="dxa"/>
            <w:vAlign w:val="bottom"/>
            <w:gridSpan w:val="2"/>
          </w:tcPr>
          <w:p>
            <w:pPr>
              <w:spacing w:after="0"/>
              <w:rPr>
                <w:sz w:val="20"/>
                <w:szCs w:val="20"/>
                <w:color w:val="auto"/>
              </w:rPr>
            </w:pPr>
            <w:r>
              <w:rPr>
                <w:rFonts w:ascii="Arial" w:cs="Arial" w:eastAsia="Arial" w:hAnsi="Arial"/>
                <w:sz w:val="13"/>
                <w:szCs w:val="13"/>
                <w:color w:val="auto"/>
              </w:rPr>
              <w:t>erest on short-term investments</w:t>
            </w:r>
          </w:p>
        </w:tc>
        <w:tc>
          <w:tcPr>
            <w:tcW w:w="3880" w:type="dxa"/>
            <w:vAlign w:val="bottom"/>
          </w:tcPr>
          <w:p>
            <w:pPr>
              <w:jc w:val="right"/>
              <w:ind w:right="176"/>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1,065</w:t>
            </w:r>
          </w:p>
        </w:tc>
      </w:tr>
      <w:tr>
        <w:trPr>
          <w:trHeight w:val="171"/>
        </w:trPr>
        <w:tc>
          <w:tcPr>
            <w:tcW w:w="5920" w:type="dxa"/>
            <w:vAlign w:val="bottom"/>
            <w:gridSpan w:val="2"/>
          </w:tcPr>
          <w:p>
            <w:pPr>
              <w:ind w:left="20"/>
              <w:spacing w:after="0"/>
              <w:rPr>
                <w:sz w:val="20"/>
                <w:szCs w:val="20"/>
                <w:color w:val="auto"/>
              </w:rPr>
            </w:pPr>
            <w:r>
              <w:rPr>
                <w:rFonts w:ascii="Arial" w:cs="Arial" w:eastAsia="Arial" w:hAnsi="Arial"/>
                <w:sz w:val="13"/>
                <w:szCs w:val="13"/>
                <w:color w:val="auto"/>
              </w:rPr>
              <w:t>in on investments</w:t>
            </w:r>
          </w:p>
        </w:tc>
        <w:tc>
          <w:tcPr>
            <w:tcW w:w="3880" w:type="dxa"/>
            <w:vAlign w:val="bottom"/>
          </w:tcPr>
          <w:p>
            <w:pPr>
              <w:jc w:val="right"/>
              <w:ind w:right="176"/>
              <w:spacing w:after="0"/>
              <w:rPr>
                <w:sz w:val="20"/>
                <w:szCs w:val="20"/>
                <w:color w:val="auto"/>
              </w:rPr>
            </w:pPr>
            <w:r>
              <w:rPr>
                <w:rFonts w:ascii="Arial" w:cs="Arial" w:eastAsia="Arial" w:hAnsi="Arial"/>
                <w:sz w:val="13"/>
                <w:szCs w:val="13"/>
                <w:b w:val="1"/>
                <w:bCs w:val="1"/>
                <w:color w:val="auto"/>
              </w:rPr>
              <w:t>3</w:t>
            </w:r>
          </w:p>
        </w:tc>
        <w:tc>
          <w:tcPr>
            <w:tcW w:w="1280" w:type="dxa"/>
            <w:vAlign w:val="bottom"/>
          </w:tcPr>
          <w:p>
            <w:pPr>
              <w:jc w:val="right"/>
              <w:spacing w:after="0"/>
              <w:rPr>
                <w:sz w:val="20"/>
                <w:szCs w:val="20"/>
                <w:color w:val="auto"/>
              </w:rPr>
            </w:pPr>
            <w:r>
              <w:rPr>
                <w:rFonts w:ascii="Arial" w:cs="Arial" w:eastAsia="Arial" w:hAnsi="Arial"/>
                <w:sz w:val="13"/>
                <w:szCs w:val="13"/>
                <w:color w:val="auto"/>
              </w:rPr>
              <w:t>736</w:t>
            </w:r>
          </w:p>
        </w:tc>
      </w:tr>
      <w:tr>
        <w:trPr>
          <w:trHeight w:val="20"/>
        </w:trPr>
        <w:tc>
          <w:tcPr>
            <w:tcW w:w="12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175"/>
        </w:trPr>
        <w:tc>
          <w:tcPr>
            <w:tcW w:w="5920" w:type="dxa"/>
            <w:vAlign w:val="bottom"/>
            <w:gridSpan w:val="2"/>
          </w:tcPr>
          <w:p>
            <w:pPr>
              <w:spacing w:after="0"/>
              <w:rPr>
                <w:sz w:val="20"/>
                <w:szCs w:val="20"/>
                <w:color w:val="auto"/>
              </w:rPr>
            </w:pPr>
            <w:r>
              <w:rPr>
                <w:rFonts w:ascii="Arial" w:cs="Arial" w:eastAsia="Arial" w:hAnsi="Arial"/>
                <w:sz w:val="13"/>
                <w:szCs w:val="13"/>
                <w:color w:val="auto"/>
              </w:rPr>
              <w:t>end of year</w:t>
            </w:r>
          </w:p>
        </w:tc>
        <w:tc>
          <w:tcPr>
            <w:tcW w:w="3880" w:type="dxa"/>
            <w:vAlign w:val="bottom"/>
          </w:tcPr>
          <w:p>
            <w:pPr>
              <w:jc w:val="right"/>
              <w:ind w:right="176"/>
              <w:spacing w:after="0"/>
              <w:rPr>
                <w:sz w:val="20"/>
                <w:szCs w:val="20"/>
                <w:color w:val="auto"/>
              </w:rPr>
            </w:pPr>
            <w:r>
              <w:rPr>
                <w:rFonts w:ascii="Arial" w:cs="Arial" w:eastAsia="Arial" w:hAnsi="Arial"/>
                <w:sz w:val="13"/>
                <w:szCs w:val="13"/>
                <w:b w:val="1"/>
                <w:bCs w:val="1"/>
                <w:color w:val="auto"/>
              </w:rPr>
              <w:t>1,729</w:t>
            </w:r>
          </w:p>
        </w:tc>
        <w:tc>
          <w:tcPr>
            <w:tcW w:w="1280" w:type="dxa"/>
            <w:vAlign w:val="bottom"/>
          </w:tcPr>
          <w:p>
            <w:pPr>
              <w:jc w:val="right"/>
              <w:spacing w:after="0"/>
              <w:rPr>
                <w:sz w:val="20"/>
                <w:szCs w:val="20"/>
                <w:color w:val="auto"/>
              </w:rPr>
            </w:pPr>
            <w:r>
              <w:rPr>
                <w:rFonts w:ascii="Arial" w:cs="Arial" w:eastAsia="Arial" w:hAnsi="Arial"/>
                <w:sz w:val="13"/>
                <w:szCs w:val="13"/>
                <w:color w:val="auto"/>
              </w:rPr>
              <w:t>49,628</w:t>
            </w:r>
          </w:p>
        </w:tc>
      </w:tr>
      <w:tr>
        <w:trPr>
          <w:trHeight w:val="29"/>
        </w:trPr>
        <w:tc>
          <w:tcPr>
            <w:tcW w:w="120" w:type="dxa"/>
            <w:vAlign w:val="bottom"/>
          </w:tcPr>
          <w:p>
            <w:pPr>
              <w:spacing w:after="0"/>
              <w:rPr>
                <w:sz w:val="2"/>
                <w:szCs w:val="2"/>
                <w:color w:val="auto"/>
              </w:rPr>
            </w:pPr>
          </w:p>
        </w:tc>
        <w:tc>
          <w:tcPr>
            <w:tcW w:w="5800" w:type="dxa"/>
            <w:vAlign w:val="bottom"/>
            <w:shd w:val="clear" w:color="auto" w:fill="000000"/>
          </w:tcPr>
          <w:p>
            <w:pPr>
              <w:spacing w:after="0"/>
              <w:rPr>
                <w:sz w:val="2"/>
                <w:szCs w:val="2"/>
                <w:color w:val="auto"/>
              </w:rPr>
            </w:pPr>
          </w:p>
        </w:tc>
        <w:tc>
          <w:tcPr>
            <w:tcW w:w="38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-572135</wp:posOffset>
            </wp:positionV>
            <wp:extent cx="6959600" cy="107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9600" cy="10795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-356235</wp:posOffset>
            </wp:positionV>
            <wp:extent cx="6959600" cy="107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59600" cy="10795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-140970</wp:posOffset>
            </wp:positionV>
            <wp:extent cx="695960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9600" cy="134620"/>
                    </a:xfrm>
                    <a:prstGeom prst="rect">
                      <a:avLst/>
                    </a:prstGeom>
                    <a:noFill/>
                  </pic:spPr>
                </pic:pic>
              </a:graphicData>
            </a:graphic>
          </wp:anchor>
        </w:drawing>
      </w:r>
    </w:p>
    <w:p>
      <w:pPr>
        <w:spacing w:after="0" w:line="236" w:lineRule="exact"/>
        <w:rPr>
          <w:sz w:val="20"/>
          <w:szCs w:val="20"/>
          <w:color w:val="auto"/>
        </w:rPr>
      </w:pPr>
    </w:p>
    <w:p>
      <w:pPr>
        <w:jc w:val="both"/>
        <w:ind w:left="80"/>
        <w:spacing w:after="0" w:line="241" w:lineRule="auto"/>
        <w:rPr>
          <w:sz w:val="20"/>
          <w:szCs w:val="20"/>
          <w:color w:val="auto"/>
        </w:rPr>
      </w:pPr>
      <w:r>
        <w:rPr>
          <w:rFonts w:ascii="Arial" w:cs="Arial" w:eastAsia="Arial" w:hAnsi="Arial"/>
          <w:sz w:val="13"/>
          <w:szCs w:val="13"/>
          <w:color w:val="auto"/>
        </w:rPr>
        <w:t>Current asset investments are reported at fair value, with gains or losses recorded in other comprehensive income. The gain on short-term investments recognised during the year ended 31 December 2020 includes an unrealised loss of $(0.2) million (2019: unrealised gain of $0.7 million). Current asset investments comprise highly liquid investments with maturities of greater than three months and minimum “A-” rated fixed and floating rate securities.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(b) Non-current financial assets - fair value through profit or loss</w:t>
      </w:r>
    </w:p>
    <w:p>
      <w:pPr>
        <w:spacing w:after="0" w:line="206" w:lineRule="exact"/>
        <w:rPr>
          <w:sz w:val="20"/>
          <w:szCs w:val="20"/>
          <w:color w:val="auto"/>
        </w:rPr>
      </w:pPr>
    </w:p>
    <w:p>
      <w:pPr>
        <w:jc w:val="both"/>
        <w:ind w:left="80"/>
        <w:spacing w:after="0"/>
        <w:rPr>
          <w:sz w:val="20"/>
          <w:szCs w:val="20"/>
          <w:color w:val="auto"/>
        </w:rPr>
      </w:pPr>
      <w:r>
        <w:rPr>
          <w:rFonts w:ascii="Arial" w:cs="Arial" w:eastAsia="Arial" w:hAnsi="Arial"/>
          <w:sz w:val="13"/>
          <w:szCs w:val="13"/>
          <w:color w:val="auto"/>
        </w:rPr>
        <w:t>The Company entered into subscription agreements with a number of funds. Capital totalling $13.3 million had been advanced under the terms of the subscription agreements at 31 December 2020 (2019: $10.1 million). The Company determined that the interests in the funds meet the definition of equity securities without readily determinable fair values. There was an increase in fair value of $2.5 million (2019: decrease in fair value of $0.8 million) recognised in profit during the year bringing the carrying value of the subscriptions to $15.8 million at 31 December 2020 (2019: $10.1 million). The Company had committed to future investments of $21.9 million in respect of these funds.</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 Equity method investments</w:t>
      </w:r>
    </w:p>
    <w:p>
      <w:pPr>
        <w:spacing w:after="0" w:line="15" w:lineRule="exact"/>
        <w:rPr>
          <w:sz w:val="20"/>
          <w:szCs w:val="20"/>
          <w:color w:val="auto"/>
        </w:rPr>
      </w:pPr>
    </w:p>
    <w:p>
      <w:pPr>
        <w:jc w:val="both"/>
        <w:ind w:left="80"/>
        <w:spacing w:after="0" w:line="241" w:lineRule="auto"/>
        <w:rPr>
          <w:sz w:val="20"/>
          <w:szCs w:val="20"/>
          <w:color w:val="auto"/>
        </w:rPr>
      </w:pPr>
      <w:r>
        <w:rPr>
          <w:rFonts w:ascii="Arial" w:cs="Arial" w:eastAsia="Arial" w:hAnsi="Arial"/>
          <w:sz w:val="13"/>
          <w:szCs w:val="13"/>
          <w:color w:val="auto"/>
        </w:rPr>
        <w:t xml:space="preserve">The Company has invested $4.9 million to obtain a 49% interest in the voting share capital of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 in the Consolidated Statement of Profit and Loss (see </w:t>
      </w:r>
      <w:r>
        <w:rPr>
          <w:rFonts w:ascii="Arial" w:cs="Arial" w:eastAsia="Arial" w:hAnsi="Arial"/>
          <w:sz w:val="13"/>
          <w:szCs w:val="13"/>
          <w:i w:val="1"/>
          <w:iCs w:val="1"/>
          <w:color w:val="auto"/>
        </w:rPr>
        <w:t>note 1 Basis of preparation and statement of accounting policies</w:t>
      </w:r>
      <w:r>
        <w:rPr>
          <w:rFonts w:ascii="Arial" w:cs="Arial" w:eastAsia="Arial" w:hAnsi="Arial"/>
          <w:sz w:val="13"/>
          <w:szCs w:val="13"/>
          <w:color w:val="auto"/>
        </w:rPr>
        <w:t>).</w:t>
      </w:r>
    </w:p>
    <w:p>
      <w:pPr>
        <w:spacing w:after="0" w:line="186" w:lineRule="exact"/>
        <w:rPr>
          <w:sz w:val="20"/>
          <w:szCs w:val="20"/>
          <w:color w:val="auto"/>
        </w:rPr>
      </w:pPr>
    </w:p>
    <w:p>
      <w:pPr>
        <w:jc w:val="both"/>
        <w:ind w:left="80"/>
        <w:spacing w:after="0" w:line="244" w:lineRule="auto"/>
        <w:rPr>
          <w:sz w:val="20"/>
          <w:szCs w:val="20"/>
          <w:color w:val="auto"/>
        </w:rPr>
      </w:pPr>
      <w:r>
        <w:rPr>
          <w:rFonts w:ascii="Arial" w:cs="Arial" w:eastAsia="Arial" w:hAnsi="Arial"/>
          <w:sz w:val="13"/>
          <w:szCs w:val="13"/>
          <w:color w:val="auto"/>
        </w:rPr>
        <w:t>The majority investor has the right to sell the 51% majority voting share capital exclusively to the Company in an eighteen month period, commencing 1 January 2023 and ICON also has the right to acquire the 51% majority voting share capital from August 1, 2025. The following table represents our equity method investment at 31 December 2020:</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960" w:type="dxa"/>
            <w:vAlign w:val="bottom"/>
            <w:shd w:val="clear" w:color="auto" w:fill="CCEEFF"/>
          </w:tcPr>
          <w:p>
            <w:pPr>
              <w:spacing w:after="0"/>
              <w:rPr>
                <w:sz w:val="14"/>
                <w:szCs w:val="14"/>
                <w:color w:val="auto"/>
              </w:rPr>
            </w:pPr>
          </w:p>
        </w:tc>
        <w:tc>
          <w:tcPr>
            <w:tcW w:w="450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Ownership Percentage</w:t>
            </w:r>
          </w:p>
        </w:tc>
        <w:tc>
          <w:tcPr>
            <w:tcW w:w="160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Carrying Value</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Carrying Value</w:t>
            </w:r>
          </w:p>
        </w:tc>
      </w:tr>
      <w:tr>
        <w:trPr>
          <w:trHeight w:val="169"/>
        </w:trPr>
        <w:tc>
          <w:tcPr>
            <w:tcW w:w="396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31 December 2020</w:t>
            </w: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31 December 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 July 2020</w:t>
            </w:r>
          </w:p>
        </w:tc>
      </w:tr>
      <w:tr>
        <w:trPr>
          <w:trHeight w:val="161"/>
        </w:trPr>
        <w:tc>
          <w:tcPr>
            <w:tcW w:w="3960" w:type="dxa"/>
            <w:vAlign w:val="bottom"/>
            <w:shd w:val="clear" w:color="auto" w:fill="CCEEFF"/>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6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Oncacare Limited</w:t>
            </w:r>
          </w:p>
        </w:tc>
        <w:tc>
          <w:tcPr>
            <w:tcW w:w="45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49 %</w:t>
            </w:r>
          </w:p>
        </w:tc>
        <w:tc>
          <w:tcPr>
            <w:tcW w:w="16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4,534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4,900</w:t>
            </w:r>
          </w:p>
        </w:tc>
      </w:tr>
    </w:tbl>
    <w:p>
      <w:pPr>
        <w:spacing w:after="0" w:line="267" w:lineRule="exact"/>
        <w:rPr>
          <w:sz w:val="20"/>
          <w:szCs w:val="20"/>
          <w:color w:val="auto"/>
        </w:rPr>
      </w:pPr>
    </w:p>
    <w:p>
      <w:pPr>
        <w:ind w:left="80"/>
        <w:spacing w:after="0"/>
        <w:rPr>
          <w:sz w:val="20"/>
          <w:szCs w:val="20"/>
          <w:color w:val="auto"/>
        </w:rPr>
      </w:pPr>
      <w:r>
        <w:rPr>
          <w:rFonts w:ascii="Arial" w:cs="Arial" w:eastAsia="Arial" w:hAnsi="Arial"/>
          <w:sz w:val="13"/>
          <w:szCs w:val="13"/>
          <w:color w:val="auto"/>
        </w:rPr>
        <w:t>The Company has invested $4.9 million in Oncacare, of which, $2.5 million has been paid with the remainder to be paid in the next twelve months.</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3"/>
          <w:szCs w:val="13"/>
          <w:color w:val="auto"/>
        </w:rPr>
        <w:t>The Company has recorded a loss of $0.4 million representing its pro rata share of the losses in Oncacare since the date of initial investment.</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360"/>
          </w:cols>
          <w:pgMar w:left="220" w:top="696" w:right="319" w:bottom="1440" w:gutter="0" w:footer="0" w:header="0"/>
        </w:sectPr>
      </w:pPr>
    </w:p>
    <w:bookmarkStart w:id="116" w:name="page117"/>
    <w:bookmarkEnd w:id="116"/>
    <w:p>
      <w:pPr>
        <w:ind w:left="80"/>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19.Cash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44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31 December</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69"/>
        </w:trPr>
        <w:tc>
          <w:tcPr>
            <w:tcW w:w="80" w:type="dxa"/>
            <w:vAlign w:val="bottom"/>
          </w:tcPr>
          <w:p>
            <w:pPr>
              <w:spacing w:after="0"/>
              <w:rPr>
                <w:sz w:val="14"/>
                <w:szCs w:val="14"/>
                <w:color w:val="auto"/>
              </w:rPr>
            </w:pPr>
          </w:p>
        </w:tc>
        <w:tc>
          <w:tcPr>
            <w:tcW w:w="5600" w:type="dxa"/>
            <w:vAlign w:val="bottom"/>
            <w:tcBorders>
              <w:bottom w:val="single" w:sz="8" w:color="auto"/>
            </w:tcBorders>
            <w:shd w:val="clear" w:color="auto" w:fill="CCEEFF"/>
          </w:tcPr>
          <w:p>
            <w:pPr>
              <w:spacing w:after="0"/>
              <w:rPr>
                <w:sz w:val="14"/>
                <w:szCs w:val="14"/>
                <w:color w:val="auto"/>
              </w:rPr>
            </w:pPr>
          </w:p>
        </w:tc>
        <w:tc>
          <w:tcPr>
            <w:tcW w:w="44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2019</w:t>
            </w:r>
          </w:p>
        </w:tc>
      </w:tr>
      <w:tr>
        <w:trPr>
          <w:trHeight w:val="160"/>
        </w:trPr>
        <w:tc>
          <w:tcPr>
            <w:tcW w:w="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44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8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69"/>
        </w:trPr>
        <w:tc>
          <w:tcPr>
            <w:tcW w:w="8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3"/>
                <w:szCs w:val="13"/>
                <w:color w:val="auto"/>
              </w:rPr>
              <w:t>Cash at bank and in hand</w:t>
            </w:r>
          </w:p>
        </w:tc>
        <w:tc>
          <w:tcPr>
            <w:tcW w:w="4420" w:type="dxa"/>
            <w:vAlign w:val="bottom"/>
          </w:tcPr>
          <w:p>
            <w:pPr>
              <w:jc w:val="right"/>
              <w:ind w:right="216"/>
              <w:spacing w:after="0"/>
              <w:rPr>
                <w:sz w:val="20"/>
                <w:szCs w:val="20"/>
                <w:color w:val="auto"/>
              </w:rPr>
            </w:pPr>
            <w:r>
              <w:rPr>
                <w:rFonts w:ascii="Arial" w:cs="Arial" w:eastAsia="Arial" w:hAnsi="Arial"/>
                <w:sz w:val="13"/>
                <w:szCs w:val="13"/>
                <w:b w:val="1"/>
                <w:bCs w:val="1"/>
                <w:color w:val="auto"/>
              </w:rPr>
              <w:t>221,367</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185,455</w:t>
            </w:r>
          </w:p>
        </w:tc>
      </w:tr>
      <w:tr>
        <w:trPr>
          <w:trHeight w:val="170"/>
        </w:trPr>
        <w:tc>
          <w:tcPr>
            <w:tcW w:w="80" w:type="dxa"/>
            <w:vAlign w:val="bottom"/>
          </w:tcPr>
          <w:p>
            <w:pPr>
              <w:spacing w:after="0"/>
              <w:rPr>
                <w:sz w:val="14"/>
                <w:szCs w:val="14"/>
                <w:color w:val="auto"/>
              </w:rPr>
            </w:pPr>
          </w:p>
        </w:tc>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Short-term deposits</w:t>
            </w:r>
          </w:p>
        </w:tc>
        <w:tc>
          <w:tcPr>
            <w:tcW w:w="4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618,938</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334,854</w:t>
            </w:r>
          </w:p>
        </w:tc>
      </w:tr>
      <w:tr>
        <w:trPr>
          <w:trHeight w:val="182"/>
        </w:trPr>
        <w:tc>
          <w:tcPr>
            <w:tcW w:w="8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1"/>
        </w:trPr>
        <w:tc>
          <w:tcPr>
            <w:tcW w:w="80" w:type="dxa"/>
            <w:vAlign w:val="bottom"/>
          </w:tcPr>
          <w:p>
            <w:pPr>
              <w:spacing w:after="0"/>
              <w:rPr>
                <w:sz w:val="14"/>
                <w:szCs w:val="14"/>
                <w:color w:val="auto"/>
              </w:rPr>
            </w:pPr>
          </w:p>
        </w:tc>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4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840,305</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520,309</w:t>
            </w:r>
          </w:p>
        </w:tc>
      </w:tr>
      <w:tr>
        <w:trPr>
          <w:trHeight w:val="799"/>
        </w:trPr>
        <w:tc>
          <w:tcPr>
            <w:tcW w:w="5680" w:type="dxa"/>
            <w:vAlign w:val="bottom"/>
            <w:gridSpan w:val="2"/>
          </w:tcPr>
          <w:p>
            <w:pPr>
              <w:ind w:left="80"/>
              <w:spacing w:after="0"/>
              <w:rPr>
                <w:sz w:val="20"/>
                <w:szCs w:val="20"/>
                <w:color w:val="auto"/>
              </w:rPr>
            </w:pPr>
            <w:r>
              <w:rPr>
                <w:rFonts w:ascii="Arial" w:cs="Arial" w:eastAsia="Arial" w:hAnsi="Arial"/>
                <w:sz w:val="13"/>
                <w:szCs w:val="13"/>
                <w:b w:val="1"/>
                <w:bCs w:val="1"/>
                <w:color w:val="auto"/>
              </w:rPr>
              <w:t>20. Accrued and other liabilities</w:t>
            </w:r>
          </w:p>
        </w:tc>
        <w:tc>
          <w:tcPr>
            <w:tcW w:w="4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5"/>
        </w:trPr>
        <w:tc>
          <w:tcPr>
            <w:tcW w:w="80" w:type="dxa"/>
            <w:vAlign w:val="bottom"/>
          </w:tcPr>
          <w:p>
            <w:pPr>
              <w:spacing w:after="0"/>
              <w:rPr>
                <w:sz w:val="11"/>
                <w:szCs w:val="11"/>
                <w:color w:val="auto"/>
              </w:rPr>
            </w:pPr>
          </w:p>
        </w:tc>
        <w:tc>
          <w:tcPr>
            <w:tcW w:w="5600" w:type="dxa"/>
            <w:vAlign w:val="bottom"/>
            <w:shd w:val="clear" w:color="auto" w:fill="CCEEFF"/>
          </w:tcPr>
          <w:p>
            <w:pPr>
              <w:spacing w:after="0"/>
              <w:rPr>
                <w:sz w:val="11"/>
                <w:szCs w:val="11"/>
                <w:color w:val="auto"/>
              </w:rPr>
            </w:pPr>
          </w:p>
        </w:tc>
        <w:tc>
          <w:tcPr>
            <w:tcW w:w="4420" w:type="dxa"/>
            <w:vAlign w:val="bottom"/>
            <w:shd w:val="clear" w:color="auto" w:fill="CCEEFF"/>
          </w:tcPr>
          <w:p>
            <w:pPr>
              <w:jc w:val="right"/>
              <w:ind w:right="396"/>
              <w:spacing w:after="0" w:line="135" w:lineRule="exact"/>
              <w:rPr>
                <w:sz w:val="20"/>
                <w:szCs w:val="20"/>
                <w:color w:val="auto"/>
              </w:rPr>
            </w:pPr>
            <w:r>
              <w:rPr>
                <w:rFonts w:ascii="Arial" w:cs="Arial" w:eastAsia="Arial" w:hAnsi="Arial"/>
                <w:sz w:val="13"/>
                <w:szCs w:val="13"/>
                <w:b w:val="1"/>
                <w:bCs w:val="1"/>
                <w:color w:val="auto"/>
              </w:rPr>
              <w:t>31 December</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 December</w:t>
            </w:r>
          </w:p>
        </w:tc>
        <w:tc>
          <w:tcPr>
            <w:tcW w:w="260" w:type="dxa"/>
            <w:vAlign w:val="bottom"/>
          </w:tcPr>
          <w:p>
            <w:pPr>
              <w:spacing w:after="0"/>
              <w:rPr>
                <w:sz w:val="11"/>
                <w:szCs w:val="11"/>
                <w:color w:val="auto"/>
              </w:rPr>
            </w:pPr>
          </w:p>
        </w:tc>
      </w:tr>
      <w:tr>
        <w:trPr>
          <w:trHeight w:val="169"/>
        </w:trPr>
        <w:tc>
          <w:tcPr>
            <w:tcW w:w="80" w:type="dxa"/>
            <w:vAlign w:val="bottom"/>
          </w:tcPr>
          <w:p>
            <w:pPr>
              <w:spacing w:after="0"/>
              <w:rPr>
                <w:sz w:val="14"/>
                <w:szCs w:val="14"/>
                <w:color w:val="auto"/>
              </w:rPr>
            </w:pPr>
          </w:p>
        </w:tc>
        <w:tc>
          <w:tcPr>
            <w:tcW w:w="5600" w:type="dxa"/>
            <w:vAlign w:val="bottom"/>
            <w:tcBorders>
              <w:bottom w:val="single" w:sz="8" w:color="auto"/>
            </w:tcBorders>
            <w:shd w:val="clear" w:color="auto" w:fill="CCEEFF"/>
          </w:tcPr>
          <w:p>
            <w:pPr>
              <w:spacing w:after="0"/>
              <w:rPr>
                <w:sz w:val="14"/>
                <w:szCs w:val="14"/>
                <w:color w:val="auto"/>
              </w:rPr>
            </w:pPr>
          </w:p>
        </w:tc>
        <w:tc>
          <w:tcPr>
            <w:tcW w:w="44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260" w:type="dxa"/>
            <w:vAlign w:val="bottom"/>
          </w:tcPr>
          <w:p>
            <w:pPr>
              <w:spacing w:after="0"/>
              <w:rPr>
                <w:sz w:val="14"/>
                <w:szCs w:val="14"/>
                <w:color w:val="auto"/>
              </w:rPr>
            </w:pPr>
          </w:p>
        </w:tc>
      </w:tr>
      <w:tr>
        <w:trPr>
          <w:trHeight w:val="160"/>
        </w:trPr>
        <w:tc>
          <w:tcPr>
            <w:tcW w:w="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442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$’000</w:t>
            </w:r>
          </w:p>
        </w:tc>
      </w:tr>
      <w:tr>
        <w:trPr>
          <w:trHeight w:val="212"/>
        </w:trPr>
        <w:tc>
          <w:tcPr>
            <w:tcW w:w="8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183"/>
        </w:trPr>
        <w:tc>
          <w:tcPr>
            <w:tcW w:w="5680" w:type="dxa"/>
            <w:vAlign w:val="bottom"/>
            <w:gridSpan w:val="2"/>
          </w:tcPr>
          <w:p>
            <w:pPr>
              <w:ind w:left="20"/>
              <w:spacing w:after="0"/>
              <w:rPr>
                <w:sz w:val="20"/>
                <w:szCs w:val="20"/>
                <w:color w:val="auto"/>
              </w:rPr>
            </w:pPr>
            <w:r>
              <w:rPr>
                <w:rFonts w:ascii="Arial" w:cs="Arial" w:eastAsia="Arial" w:hAnsi="Arial"/>
                <w:sz w:val="13"/>
                <w:szCs w:val="13"/>
                <w:b w:val="1"/>
                <w:bCs w:val="1"/>
                <w:color w:val="auto"/>
              </w:rPr>
              <w:t>n-current other liabilities</w:t>
            </w:r>
          </w:p>
        </w:tc>
        <w:tc>
          <w:tcPr>
            <w:tcW w:w="4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20"/>
        </w:trPr>
        <w:tc>
          <w:tcPr>
            <w:tcW w:w="80" w:type="dxa"/>
            <w:vAlign w:val="bottom"/>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r>
      <w:tr>
        <w:trPr>
          <w:trHeight w:val="183"/>
        </w:trPr>
        <w:tc>
          <w:tcPr>
            <w:tcW w:w="5680" w:type="dxa"/>
            <w:vAlign w:val="bottom"/>
            <w:gridSpan w:val="2"/>
          </w:tcPr>
          <w:p>
            <w:pPr>
              <w:spacing w:after="0"/>
              <w:rPr>
                <w:sz w:val="20"/>
                <w:szCs w:val="20"/>
                <w:color w:val="auto"/>
              </w:rPr>
            </w:pPr>
            <w:r>
              <w:rPr>
                <w:rFonts w:ascii="Arial" w:cs="Arial" w:eastAsia="Arial" w:hAnsi="Arial"/>
                <w:sz w:val="13"/>
                <w:szCs w:val="13"/>
                <w:color w:val="auto"/>
              </w:rPr>
              <w:t>rsonnel related liabilities</w:t>
            </w:r>
          </w:p>
        </w:tc>
        <w:tc>
          <w:tcPr>
            <w:tcW w:w="4420" w:type="dxa"/>
            <w:vAlign w:val="bottom"/>
          </w:tcPr>
          <w:p>
            <w:pPr>
              <w:jc w:val="right"/>
              <w:ind w:right="436"/>
              <w:spacing w:after="0"/>
              <w:rPr>
                <w:sz w:val="20"/>
                <w:szCs w:val="20"/>
                <w:color w:val="auto"/>
              </w:rPr>
            </w:pPr>
            <w:r>
              <w:rPr>
                <w:rFonts w:ascii="Arial" w:cs="Arial" w:eastAsia="Arial" w:hAnsi="Arial"/>
                <w:sz w:val="13"/>
                <w:szCs w:val="13"/>
                <w:b w:val="1"/>
                <w:bCs w:val="1"/>
                <w:color w:val="auto"/>
              </w:rPr>
              <w:t>244</w:t>
            </w:r>
          </w:p>
        </w:tc>
        <w:tc>
          <w:tcPr>
            <w:tcW w:w="1000" w:type="dxa"/>
            <w:vAlign w:val="bottom"/>
          </w:tcPr>
          <w:p>
            <w:pPr>
              <w:jc w:val="right"/>
              <w:spacing w:after="0"/>
              <w:rPr>
                <w:sz w:val="20"/>
                <w:szCs w:val="20"/>
                <w:color w:val="auto"/>
              </w:rPr>
            </w:pPr>
            <w:r>
              <w:rPr>
                <w:rFonts w:ascii="Arial" w:cs="Arial" w:eastAsia="Arial" w:hAnsi="Arial"/>
                <w:sz w:val="13"/>
                <w:szCs w:val="13"/>
                <w:color w:val="auto"/>
              </w:rPr>
              <w:t>289</w:t>
            </w:r>
          </w:p>
        </w:tc>
        <w:tc>
          <w:tcPr>
            <w:tcW w:w="260" w:type="dxa"/>
            <w:vAlign w:val="bottom"/>
          </w:tcPr>
          <w:p>
            <w:pPr>
              <w:spacing w:after="0"/>
              <w:rPr>
                <w:sz w:val="15"/>
                <w:szCs w:val="15"/>
                <w:color w:val="auto"/>
              </w:rPr>
            </w:pPr>
          </w:p>
        </w:tc>
      </w:tr>
      <w:tr>
        <w:trPr>
          <w:trHeight w:val="177"/>
        </w:trPr>
        <w:tc>
          <w:tcPr>
            <w:tcW w:w="8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ferred government grants (note 22)</w:t>
            </w:r>
          </w:p>
        </w:tc>
        <w:tc>
          <w:tcPr>
            <w:tcW w:w="442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838</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260" w:type="dxa"/>
            <w:vAlign w:val="bottom"/>
          </w:tcPr>
          <w:p>
            <w:pPr>
              <w:spacing w:after="0"/>
              <w:rPr>
                <w:sz w:val="15"/>
                <w:szCs w:val="15"/>
                <w:color w:val="auto"/>
              </w:rPr>
            </w:pPr>
          </w:p>
        </w:tc>
      </w:tr>
      <w:tr>
        <w:trPr>
          <w:trHeight w:val="169"/>
        </w:trPr>
        <w:tc>
          <w:tcPr>
            <w:tcW w:w="5680" w:type="dxa"/>
            <w:vAlign w:val="bottom"/>
            <w:gridSpan w:val="2"/>
          </w:tcPr>
          <w:p>
            <w:pPr>
              <w:spacing w:after="0"/>
              <w:rPr>
                <w:sz w:val="20"/>
                <w:szCs w:val="20"/>
                <w:color w:val="auto"/>
              </w:rPr>
            </w:pPr>
            <w:r>
              <w:rPr>
                <w:rFonts w:ascii="Arial" w:cs="Arial" w:eastAsia="Arial" w:hAnsi="Arial"/>
                <w:sz w:val="13"/>
                <w:szCs w:val="13"/>
                <w:color w:val="auto"/>
              </w:rPr>
              <w:t>tirement benefit plan net obligation (note 10)</w:t>
            </w:r>
          </w:p>
        </w:tc>
        <w:tc>
          <w:tcPr>
            <w:tcW w:w="4420" w:type="dxa"/>
            <w:vAlign w:val="bottom"/>
          </w:tcPr>
          <w:p>
            <w:pPr>
              <w:jc w:val="right"/>
              <w:ind w:right="436"/>
              <w:spacing w:after="0"/>
              <w:rPr>
                <w:sz w:val="20"/>
                <w:szCs w:val="20"/>
                <w:color w:val="auto"/>
              </w:rPr>
            </w:pPr>
            <w:r>
              <w:rPr>
                <w:rFonts w:ascii="Arial" w:cs="Arial" w:eastAsia="Arial" w:hAnsi="Arial"/>
                <w:sz w:val="13"/>
                <w:szCs w:val="13"/>
                <w:b w:val="1"/>
                <w:bCs w:val="1"/>
                <w:color w:val="auto"/>
              </w:rPr>
              <w:t>10,395</w:t>
            </w:r>
          </w:p>
        </w:tc>
        <w:tc>
          <w:tcPr>
            <w:tcW w:w="1000" w:type="dxa"/>
            <w:vAlign w:val="bottom"/>
          </w:tcPr>
          <w:p>
            <w:pPr>
              <w:jc w:val="right"/>
              <w:spacing w:after="0"/>
              <w:rPr>
                <w:sz w:val="20"/>
                <w:szCs w:val="20"/>
                <w:color w:val="auto"/>
              </w:rPr>
            </w:pPr>
            <w:r>
              <w:rPr>
                <w:rFonts w:ascii="Arial" w:cs="Arial" w:eastAsia="Arial" w:hAnsi="Arial"/>
                <w:sz w:val="13"/>
                <w:szCs w:val="13"/>
                <w:color w:val="auto"/>
              </w:rPr>
              <w:t>6,053</w:t>
            </w:r>
          </w:p>
        </w:tc>
        <w:tc>
          <w:tcPr>
            <w:tcW w:w="26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ferred employee savings scheme liabilities</w:t>
            </w:r>
          </w:p>
        </w:tc>
        <w:tc>
          <w:tcPr>
            <w:tcW w:w="442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11,939</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10,292</w:t>
            </w:r>
          </w:p>
        </w:tc>
        <w:tc>
          <w:tcPr>
            <w:tcW w:w="260" w:type="dxa"/>
            <w:vAlign w:val="bottom"/>
          </w:tcPr>
          <w:p>
            <w:pPr>
              <w:spacing w:after="0"/>
              <w:rPr>
                <w:sz w:val="14"/>
                <w:szCs w:val="14"/>
                <w:color w:val="auto"/>
              </w:rPr>
            </w:pPr>
          </w:p>
        </w:tc>
      </w:tr>
      <w:tr>
        <w:trPr>
          <w:trHeight w:val="169"/>
        </w:trPr>
        <w:tc>
          <w:tcPr>
            <w:tcW w:w="5680" w:type="dxa"/>
            <w:vAlign w:val="bottom"/>
            <w:gridSpan w:val="2"/>
          </w:tcPr>
          <w:p>
            <w:pPr>
              <w:spacing w:after="0"/>
              <w:rPr>
                <w:sz w:val="20"/>
                <w:szCs w:val="20"/>
                <w:color w:val="auto"/>
              </w:rPr>
            </w:pPr>
            <w:r>
              <w:rPr>
                <w:rFonts w:ascii="Arial" w:cs="Arial" w:eastAsia="Arial" w:hAnsi="Arial"/>
                <w:sz w:val="13"/>
                <w:szCs w:val="13"/>
                <w:color w:val="auto"/>
              </w:rPr>
              <w:t>her liabilities</w:t>
            </w:r>
          </w:p>
        </w:tc>
        <w:tc>
          <w:tcPr>
            <w:tcW w:w="4420" w:type="dxa"/>
            <w:vAlign w:val="bottom"/>
          </w:tcPr>
          <w:p>
            <w:pPr>
              <w:jc w:val="right"/>
              <w:ind w:right="436"/>
              <w:spacing w:after="0"/>
              <w:rPr>
                <w:sz w:val="20"/>
                <w:szCs w:val="20"/>
                <w:color w:val="auto"/>
              </w:rPr>
            </w:pPr>
            <w:r>
              <w:rPr>
                <w:rFonts w:ascii="Arial" w:cs="Arial" w:eastAsia="Arial" w:hAnsi="Arial"/>
                <w:sz w:val="13"/>
                <w:szCs w:val="13"/>
                <w:b w:val="1"/>
                <w:bCs w:val="1"/>
                <w:color w:val="auto"/>
              </w:rPr>
              <w:t>259</w:t>
            </w:r>
          </w:p>
        </w:tc>
        <w:tc>
          <w:tcPr>
            <w:tcW w:w="1000" w:type="dxa"/>
            <w:vAlign w:val="bottom"/>
          </w:tcPr>
          <w:p>
            <w:pPr>
              <w:jc w:val="right"/>
              <w:spacing w:after="0"/>
              <w:rPr>
                <w:sz w:val="20"/>
                <w:szCs w:val="20"/>
                <w:color w:val="auto"/>
              </w:rPr>
            </w:pPr>
            <w:r>
              <w:rPr>
                <w:rFonts w:ascii="Arial" w:cs="Arial" w:eastAsia="Arial" w:hAnsi="Arial"/>
                <w:sz w:val="13"/>
                <w:szCs w:val="13"/>
                <w:color w:val="auto"/>
              </w:rPr>
              <w:t>452</w:t>
            </w:r>
          </w:p>
        </w:tc>
        <w:tc>
          <w:tcPr>
            <w:tcW w:w="260" w:type="dxa"/>
            <w:vAlign w:val="bottom"/>
          </w:tcPr>
          <w:p>
            <w:pPr>
              <w:spacing w:after="0"/>
              <w:rPr>
                <w:sz w:val="14"/>
                <w:szCs w:val="14"/>
                <w:color w:val="auto"/>
              </w:rPr>
            </w:pPr>
          </w:p>
        </w:tc>
      </w:tr>
      <w:tr>
        <w:trPr>
          <w:trHeight w:val="182"/>
        </w:trPr>
        <w:tc>
          <w:tcPr>
            <w:tcW w:w="80" w:type="dxa"/>
            <w:vAlign w:val="bottom"/>
          </w:tcPr>
          <w:p>
            <w:pPr>
              <w:spacing w:after="0"/>
              <w:rPr>
                <w:sz w:val="15"/>
                <w:szCs w:val="15"/>
                <w:color w:val="auto"/>
              </w:rPr>
            </w:pPr>
          </w:p>
        </w:tc>
        <w:tc>
          <w:tcPr>
            <w:tcW w:w="5600" w:type="dxa"/>
            <w:vAlign w:val="bottom"/>
            <w:tcBorders>
              <w:top w:val="single" w:sz="8" w:color="auto"/>
            </w:tcBorders>
            <w:shd w:val="clear" w:color="auto" w:fill="CCEEFF"/>
          </w:tcPr>
          <w:p>
            <w:pPr>
              <w:spacing w:after="0"/>
              <w:rPr>
                <w:sz w:val="15"/>
                <w:szCs w:val="15"/>
                <w:color w:val="auto"/>
              </w:rPr>
            </w:pPr>
          </w:p>
        </w:tc>
        <w:tc>
          <w:tcPr>
            <w:tcW w:w="44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r>
      <w:tr>
        <w:trPr>
          <w:trHeight w:val="169"/>
        </w:trPr>
        <w:tc>
          <w:tcPr>
            <w:tcW w:w="5680" w:type="dxa"/>
            <w:vAlign w:val="bottom"/>
            <w:gridSpan w:val="2"/>
          </w:tcPr>
          <w:p>
            <w:pPr>
              <w:ind w:left="20"/>
              <w:spacing w:after="0"/>
              <w:rPr>
                <w:sz w:val="20"/>
                <w:szCs w:val="20"/>
                <w:color w:val="auto"/>
              </w:rPr>
            </w:pPr>
            <w:r>
              <w:rPr>
                <w:rFonts w:ascii="Arial" w:cs="Arial" w:eastAsia="Arial" w:hAnsi="Arial"/>
                <w:sz w:val="13"/>
                <w:szCs w:val="13"/>
                <w:color w:val="auto"/>
              </w:rPr>
              <w:t>al</w:t>
            </w:r>
          </w:p>
        </w:tc>
        <w:tc>
          <w:tcPr>
            <w:tcW w:w="4420" w:type="dxa"/>
            <w:vAlign w:val="bottom"/>
          </w:tcPr>
          <w:p>
            <w:pPr>
              <w:jc w:val="right"/>
              <w:ind w:right="436"/>
              <w:spacing w:after="0"/>
              <w:rPr>
                <w:sz w:val="20"/>
                <w:szCs w:val="20"/>
                <w:color w:val="auto"/>
              </w:rPr>
            </w:pPr>
            <w:r>
              <w:rPr>
                <w:rFonts w:ascii="Arial" w:cs="Arial" w:eastAsia="Arial" w:hAnsi="Arial"/>
                <w:sz w:val="13"/>
                <w:szCs w:val="13"/>
                <w:b w:val="1"/>
                <w:bCs w:val="1"/>
                <w:color w:val="auto"/>
              </w:rPr>
              <w:t>23,675</w:t>
            </w:r>
          </w:p>
        </w:tc>
        <w:tc>
          <w:tcPr>
            <w:tcW w:w="1000" w:type="dxa"/>
            <w:vAlign w:val="bottom"/>
          </w:tcPr>
          <w:p>
            <w:pPr>
              <w:jc w:val="right"/>
              <w:spacing w:after="0"/>
              <w:rPr>
                <w:sz w:val="20"/>
                <w:szCs w:val="20"/>
                <w:color w:val="auto"/>
              </w:rPr>
            </w:pPr>
            <w:r>
              <w:rPr>
                <w:rFonts w:ascii="Arial" w:cs="Arial" w:eastAsia="Arial" w:hAnsi="Arial"/>
                <w:sz w:val="13"/>
                <w:szCs w:val="13"/>
                <w:color w:val="auto"/>
              </w:rPr>
              <w:t>17,899</w:t>
            </w:r>
          </w:p>
        </w:tc>
        <w:tc>
          <w:tcPr>
            <w:tcW w:w="260" w:type="dxa"/>
            <w:vAlign w:val="bottom"/>
          </w:tcPr>
          <w:p>
            <w:pPr>
              <w:spacing w:after="0"/>
              <w:rPr>
                <w:sz w:val="14"/>
                <w:szCs w:val="14"/>
                <w:color w:val="auto"/>
              </w:rPr>
            </w:pPr>
          </w:p>
        </w:tc>
      </w:tr>
      <w:tr>
        <w:trPr>
          <w:trHeight w:val="21"/>
        </w:trPr>
        <w:tc>
          <w:tcPr>
            <w:tcW w:w="8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55" w:lineRule="exact"/>
        <w:rPr>
          <w:sz w:val="20"/>
          <w:szCs w:val="20"/>
          <w:color w:val="auto"/>
        </w:rPr>
      </w:pPr>
    </w:p>
    <w:p>
      <w:pPr>
        <w:ind w:left="80"/>
        <w:spacing w:after="0" w:line="263" w:lineRule="auto"/>
        <w:rPr>
          <w:sz w:val="20"/>
          <w:szCs w:val="20"/>
          <w:color w:val="auto"/>
        </w:rPr>
      </w:pPr>
      <w:r>
        <w:rPr>
          <w:rFonts w:ascii="Arial" w:cs="Arial" w:eastAsia="Arial" w:hAnsi="Arial"/>
          <w:sz w:val="13"/>
          <w:szCs w:val="13"/>
          <w:color w:val="auto"/>
        </w:rPr>
        <w:t xml:space="preserve">Deferred employee savings scheme liabilities are payable more than 5 years from the reporting date (see </w:t>
      </w:r>
      <w:r>
        <w:rPr>
          <w:rFonts w:ascii="Arial" w:cs="Arial" w:eastAsia="Arial" w:hAnsi="Arial"/>
          <w:sz w:val="13"/>
          <w:szCs w:val="13"/>
          <w:i w:val="1"/>
          <w:iCs w:val="1"/>
          <w:color w:val="auto"/>
        </w:rPr>
        <w:t>note 26 Financial instruments)</w:t>
      </w:r>
      <w:r>
        <w:rPr>
          <w:rFonts w:ascii="Arial" w:cs="Arial" w:eastAsia="Arial" w:hAnsi="Arial"/>
          <w:sz w:val="13"/>
          <w:szCs w:val="13"/>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2"/>
                <w:szCs w:val="12"/>
                <w:color w:val="auto"/>
              </w:rPr>
            </w:pPr>
          </w:p>
        </w:tc>
        <w:tc>
          <w:tcPr>
            <w:tcW w:w="43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840" w:type="dxa"/>
            <w:vAlign w:val="bottom"/>
            <w:tcBorders>
              <w:bottom w:val="single" w:sz="8" w:color="auto"/>
            </w:tcBorders>
            <w:shd w:val="clear" w:color="auto" w:fill="CCEEFF"/>
          </w:tcPr>
          <w:p>
            <w:pPr>
              <w:spacing w:after="0"/>
              <w:rPr>
                <w:sz w:val="14"/>
                <w:szCs w:val="14"/>
                <w:color w:val="auto"/>
              </w:rPr>
            </w:pPr>
          </w:p>
        </w:tc>
        <w:tc>
          <w:tcPr>
            <w:tcW w:w="43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840" w:type="dxa"/>
            <w:vAlign w:val="bottom"/>
          </w:tcPr>
          <w:p>
            <w:pPr>
              <w:spacing w:after="0"/>
              <w:rPr>
                <w:sz w:val="13"/>
                <w:szCs w:val="13"/>
                <w:color w:val="auto"/>
              </w:rPr>
            </w:pPr>
          </w:p>
        </w:tc>
        <w:tc>
          <w:tcPr>
            <w:tcW w:w="43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8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Current accrued and other liabilities</w:t>
            </w:r>
          </w:p>
        </w:tc>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Personnel related liabilities</w:t>
            </w:r>
          </w:p>
        </w:tc>
        <w:tc>
          <w:tcPr>
            <w:tcW w:w="43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161,363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157,146</w:t>
            </w: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Facility and information system related liabilities</w:t>
            </w:r>
          </w:p>
        </w:tc>
        <w:tc>
          <w:tcPr>
            <w:tcW w:w="4300" w:type="dxa"/>
            <w:vAlign w:val="bottom"/>
          </w:tcPr>
          <w:p>
            <w:pPr>
              <w:jc w:val="right"/>
              <w:ind w:right="336"/>
              <w:spacing w:after="0"/>
              <w:rPr>
                <w:sz w:val="20"/>
                <w:szCs w:val="20"/>
                <w:color w:val="auto"/>
              </w:rPr>
            </w:pPr>
            <w:r>
              <w:rPr>
                <w:rFonts w:ascii="Arial" w:cs="Arial" w:eastAsia="Arial" w:hAnsi="Arial"/>
                <w:sz w:val="13"/>
                <w:szCs w:val="13"/>
                <w:b w:val="1"/>
                <w:bCs w:val="1"/>
                <w:color w:val="auto"/>
              </w:rPr>
              <w:t>9,441</w:t>
            </w:r>
          </w:p>
        </w:tc>
        <w:tc>
          <w:tcPr>
            <w:tcW w:w="1140" w:type="dxa"/>
            <w:vAlign w:val="bottom"/>
          </w:tcPr>
          <w:p>
            <w:pPr>
              <w:jc w:val="right"/>
              <w:spacing w:after="0"/>
              <w:rPr>
                <w:sz w:val="20"/>
                <w:szCs w:val="20"/>
                <w:color w:val="auto"/>
              </w:rPr>
            </w:pPr>
            <w:r>
              <w:rPr>
                <w:rFonts w:ascii="Arial" w:cs="Arial" w:eastAsia="Arial" w:hAnsi="Arial"/>
                <w:sz w:val="13"/>
                <w:szCs w:val="13"/>
                <w:color w:val="auto"/>
              </w:rPr>
              <w:t>11,138</w:t>
            </w: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overhead liabilities*</w:t>
            </w:r>
          </w:p>
        </w:tc>
        <w:tc>
          <w:tcPr>
            <w:tcW w:w="43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188,638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174,131</w:t>
            </w: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Gross obligation under put option</w:t>
            </w:r>
          </w:p>
        </w:tc>
        <w:tc>
          <w:tcPr>
            <w:tcW w:w="430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47,205</w:t>
            </w: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 (note 27)</w:t>
            </w:r>
          </w:p>
        </w:tc>
        <w:tc>
          <w:tcPr>
            <w:tcW w:w="43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24,334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28,320</w:t>
            </w: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4300" w:type="dxa"/>
            <w:vAlign w:val="bottom"/>
          </w:tcPr>
          <w:p>
            <w:pPr>
              <w:jc w:val="right"/>
              <w:ind w:right="336"/>
              <w:spacing w:after="0"/>
              <w:rPr>
                <w:sz w:val="20"/>
                <w:szCs w:val="20"/>
                <w:color w:val="auto"/>
              </w:rPr>
            </w:pPr>
            <w:r>
              <w:rPr>
                <w:rFonts w:ascii="Arial" w:cs="Arial" w:eastAsia="Arial" w:hAnsi="Arial"/>
                <w:sz w:val="13"/>
                <w:szCs w:val="13"/>
                <w:b w:val="1"/>
                <w:bCs w:val="1"/>
                <w:color w:val="auto"/>
              </w:rPr>
              <w:t>8,726</w:t>
            </w:r>
          </w:p>
        </w:tc>
        <w:tc>
          <w:tcPr>
            <w:tcW w:w="1140" w:type="dxa"/>
            <w:vAlign w:val="bottom"/>
          </w:tcPr>
          <w:p>
            <w:pPr>
              <w:jc w:val="right"/>
              <w:spacing w:after="0"/>
              <w:rPr>
                <w:sz w:val="20"/>
                <w:szCs w:val="20"/>
                <w:color w:val="auto"/>
              </w:rPr>
            </w:pPr>
            <w:r>
              <w:rPr>
                <w:rFonts w:ascii="Arial" w:cs="Arial" w:eastAsia="Arial" w:hAnsi="Arial"/>
                <w:sz w:val="13"/>
                <w:szCs w:val="13"/>
                <w:color w:val="auto"/>
              </w:rPr>
              <w:t>4,051</w:t>
            </w:r>
          </w:p>
        </w:tc>
      </w:tr>
      <w:tr>
        <w:trPr>
          <w:trHeight w:val="17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Short-term government grants (note 22)</w:t>
            </w:r>
          </w:p>
        </w:tc>
        <w:tc>
          <w:tcPr>
            <w:tcW w:w="43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82"/>
        </w:trPr>
        <w:tc>
          <w:tcPr>
            <w:tcW w:w="58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1"/>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3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392,550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422,036</w:t>
            </w:r>
          </w:p>
        </w:tc>
      </w:tr>
    </w:tbl>
    <w:p>
      <w:pPr>
        <w:spacing w:after="0" w:line="86" w:lineRule="exact"/>
        <w:rPr>
          <w:sz w:val="20"/>
          <w:szCs w:val="20"/>
          <w:color w:val="auto"/>
        </w:rPr>
      </w:pPr>
    </w:p>
    <w:p>
      <w:pPr>
        <w:ind w:left="80"/>
        <w:spacing w:after="0"/>
        <w:rPr>
          <w:sz w:val="20"/>
          <w:szCs w:val="20"/>
          <w:color w:val="auto"/>
        </w:rPr>
      </w:pPr>
      <w:r>
        <w:rPr>
          <w:rFonts w:ascii="Arial" w:cs="Arial" w:eastAsia="Arial" w:hAnsi="Arial"/>
          <w:sz w:val="13"/>
          <w:szCs w:val="13"/>
          <w:color w:val="auto"/>
        </w:rPr>
        <w:t>*includes amounts due to third parties in respect of accrued reimbursable expenses of $138.2 million at 31 December 2020 and $142.6 million at 31 December 2019.</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360"/>
          </w:cols>
          <w:pgMar w:left="220" w:top="696" w:right="3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21.</w:t>
      </w:r>
      <w:r>
        <w:rPr>
          <w:sz w:val="20"/>
          <w:szCs w:val="20"/>
          <w:color w:val="auto"/>
        </w:rPr>
        <w:tab/>
      </w:r>
      <w:r>
        <w:rPr>
          <w:rFonts w:ascii="Arial" w:cs="Arial" w:eastAsia="Arial" w:hAnsi="Arial"/>
          <w:sz w:val="12"/>
          <w:szCs w:val="12"/>
          <w:b w:val="1"/>
          <w:bCs w:val="1"/>
          <w:color w:val="auto"/>
        </w:rPr>
        <w:t>Provisions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shd w:val="clear" w:color="auto" w:fill="CCEEFF"/>
          </w:tcPr>
          <w:p>
            <w:pPr>
              <w:spacing w:after="0"/>
              <w:rPr>
                <w:sz w:val="13"/>
                <w:szCs w:val="13"/>
                <w:color w:val="auto"/>
              </w:rPr>
            </w:pPr>
          </w:p>
        </w:tc>
        <w:tc>
          <w:tcPr>
            <w:tcW w:w="46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48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480" w:type="dxa"/>
            <w:vAlign w:val="bottom"/>
          </w:tcPr>
          <w:p>
            <w:pPr>
              <w:spacing w:after="0"/>
              <w:rPr>
                <w:sz w:val="13"/>
                <w:szCs w:val="13"/>
                <w:color w:val="auto"/>
              </w:rPr>
            </w:pPr>
          </w:p>
        </w:tc>
        <w:tc>
          <w:tcPr>
            <w:tcW w:w="46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48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69"/>
        </w:trPr>
        <w:tc>
          <w:tcPr>
            <w:tcW w:w="5480" w:type="dxa"/>
            <w:vAlign w:val="bottom"/>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Restructuring provision (note 8)</w:t>
            </w:r>
          </w:p>
        </w:tc>
        <w:tc>
          <w:tcPr>
            <w:tcW w:w="46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3,529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r>
      <w:tr>
        <w:trPr>
          <w:trHeight w:val="182"/>
        </w:trPr>
        <w:tc>
          <w:tcPr>
            <w:tcW w:w="54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1"/>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6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3,529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r>
      <w:tr>
        <w:trPr>
          <w:trHeight w:val="286"/>
        </w:trPr>
        <w:tc>
          <w:tcPr>
            <w:tcW w:w="54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7"/>
        </w:trPr>
        <w:tc>
          <w:tcPr>
            <w:tcW w:w="5480" w:type="dxa"/>
            <w:vAlign w:val="bottom"/>
            <w:shd w:val="clear" w:color="auto" w:fill="CCEEFF"/>
          </w:tcPr>
          <w:p>
            <w:pPr>
              <w:spacing w:after="0"/>
              <w:rPr>
                <w:sz w:val="11"/>
                <w:szCs w:val="11"/>
                <w:color w:val="auto"/>
              </w:rPr>
            </w:pPr>
          </w:p>
        </w:tc>
        <w:tc>
          <w:tcPr>
            <w:tcW w:w="466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69"/>
        </w:trPr>
        <w:tc>
          <w:tcPr>
            <w:tcW w:w="548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74"/>
        </w:trPr>
        <w:tc>
          <w:tcPr>
            <w:tcW w:w="5480" w:type="dxa"/>
            <w:vAlign w:val="bottom"/>
          </w:tcPr>
          <w:p>
            <w:pPr>
              <w:spacing w:after="0"/>
              <w:rPr>
                <w:sz w:val="15"/>
                <w:szCs w:val="15"/>
                <w:color w:val="auto"/>
              </w:rPr>
            </w:pPr>
          </w:p>
        </w:tc>
        <w:tc>
          <w:tcPr>
            <w:tcW w:w="46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20"/>
        </w:trPr>
        <w:tc>
          <w:tcPr>
            <w:tcW w:w="548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69"/>
        </w:trPr>
        <w:tc>
          <w:tcPr>
            <w:tcW w:w="548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4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 (note 14)</w:t>
            </w:r>
          </w:p>
        </w:tc>
        <w:tc>
          <w:tcPr>
            <w:tcW w:w="4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r>
      <w:tr>
        <w:trPr>
          <w:trHeight w:val="16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Restructuring provision (note 8)</w:t>
            </w:r>
          </w:p>
        </w:tc>
        <w:tc>
          <w:tcPr>
            <w:tcW w:w="4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7,219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1,232</w:t>
            </w:r>
          </w:p>
        </w:tc>
      </w:tr>
      <w:tr>
        <w:trPr>
          <w:trHeight w:val="182"/>
        </w:trPr>
        <w:tc>
          <w:tcPr>
            <w:tcW w:w="5480" w:type="dxa"/>
            <w:vAlign w:val="bottom"/>
            <w:shd w:val="clear" w:color="auto" w:fill="CCEEFF"/>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7,219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3,732</w:t>
            </w:r>
          </w:p>
        </w:tc>
      </w:tr>
    </w:tbl>
    <w:p>
      <w:pPr>
        <w:spacing w:after="0" w:line="283" w:lineRule="exact"/>
        <w:rPr>
          <w:sz w:val="20"/>
          <w:szCs w:val="20"/>
          <w:color w:val="auto"/>
        </w:rPr>
      </w:pPr>
    </w:p>
    <w:p>
      <w:pPr>
        <w:ind w:left="320" w:hanging="315"/>
        <w:spacing w:after="0"/>
        <w:tabs>
          <w:tab w:leader="none" w:pos="32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Deferred government grants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shd w:val="clear" w:color="auto" w:fill="CCEEFF"/>
          </w:tcPr>
          <w:p>
            <w:pPr>
              <w:spacing w:after="0"/>
              <w:rPr>
                <w:sz w:val="13"/>
                <w:szCs w:val="13"/>
                <w:color w:val="auto"/>
              </w:rPr>
            </w:pPr>
          </w:p>
        </w:tc>
        <w:tc>
          <w:tcPr>
            <w:tcW w:w="48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320" w:type="dxa"/>
            <w:vAlign w:val="bottom"/>
            <w:tcBorders>
              <w:bottom w:val="single" w:sz="8" w:color="auto"/>
            </w:tcBorders>
            <w:shd w:val="clear" w:color="auto" w:fill="CCEEFF"/>
          </w:tcPr>
          <w:p>
            <w:pPr>
              <w:spacing w:after="0"/>
              <w:rPr>
                <w:sz w:val="14"/>
                <w:szCs w:val="14"/>
                <w:color w:val="auto"/>
              </w:rPr>
            </w:pPr>
          </w:p>
        </w:tc>
        <w:tc>
          <w:tcPr>
            <w:tcW w:w="48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320" w:type="dxa"/>
            <w:vAlign w:val="bottom"/>
          </w:tcPr>
          <w:p>
            <w:pPr>
              <w:spacing w:after="0"/>
              <w:rPr>
                <w:sz w:val="13"/>
                <w:szCs w:val="13"/>
                <w:color w:val="auto"/>
              </w:rPr>
            </w:pPr>
          </w:p>
        </w:tc>
        <w:tc>
          <w:tcPr>
            <w:tcW w:w="48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32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69"/>
        </w:trPr>
        <w:tc>
          <w:tcPr>
            <w:tcW w:w="5320" w:type="dxa"/>
            <w:vAlign w:val="bottom"/>
          </w:tcPr>
          <w:p>
            <w:pPr>
              <w:ind w:left="20"/>
              <w:spacing w:after="0"/>
              <w:rPr>
                <w:sz w:val="20"/>
                <w:szCs w:val="20"/>
                <w:color w:val="auto"/>
              </w:rPr>
            </w:pPr>
            <w:r>
              <w:rPr>
                <w:rFonts w:ascii="Arial" w:cs="Arial" w:eastAsia="Arial" w:hAnsi="Arial"/>
                <w:sz w:val="13"/>
                <w:szCs w:val="13"/>
                <w:color w:val="auto"/>
              </w:rPr>
              <w:t>At beginning of year</w:t>
            </w:r>
          </w:p>
        </w:tc>
        <w:tc>
          <w:tcPr>
            <w:tcW w:w="4820" w:type="dxa"/>
            <w:vAlign w:val="bottom"/>
          </w:tcPr>
          <w:p>
            <w:pPr>
              <w:jc w:val="right"/>
              <w:ind w:right="336"/>
              <w:spacing w:after="0"/>
              <w:rPr>
                <w:sz w:val="20"/>
                <w:szCs w:val="20"/>
                <w:color w:val="auto"/>
              </w:rPr>
            </w:pPr>
            <w:r>
              <w:rPr>
                <w:rFonts w:ascii="Arial" w:cs="Arial" w:eastAsia="Arial" w:hAnsi="Arial"/>
                <w:sz w:val="13"/>
                <w:szCs w:val="13"/>
                <w:b w:val="1"/>
                <w:bCs w:val="1"/>
                <w:color w:val="auto"/>
              </w:rPr>
              <w:t>858</w:t>
            </w:r>
          </w:p>
        </w:tc>
        <w:tc>
          <w:tcPr>
            <w:tcW w:w="1140" w:type="dxa"/>
            <w:vAlign w:val="bottom"/>
          </w:tcPr>
          <w:p>
            <w:pPr>
              <w:jc w:val="right"/>
              <w:spacing w:after="0"/>
              <w:rPr>
                <w:sz w:val="20"/>
                <w:szCs w:val="20"/>
                <w:color w:val="auto"/>
              </w:rPr>
            </w:pPr>
            <w:r>
              <w:rPr>
                <w:rFonts w:ascii="Arial" w:cs="Arial" w:eastAsia="Arial" w:hAnsi="Arial"/>
                <w:sz w:val="13"/>
                <w:szCs w:val="13"/>
                <w:color w:val="auto"/>
              </w:rPr>
              <w:t>919</w:t>
            </w: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Amortised during the year</w:t>
            </w:r>
          </w:p>
        </w:tc>
        <w:tc>
          <w:tcPr>
            <w:tcW w:w="48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(45)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6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48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82"/>
        </w:trPr>
        <w:tc>
          <w:tcPr>
            <w:tcW w:w="5320" w:type="dxa"/>
            <w:vAlign w:val="bottom"/>
            <w:shd w:val="clear" w:color="auto" w:fill="CCEEFF"/>
          </w:tcPr>
          <w:p>
            <w:pPr>
              <w:spacing w:after="0"/>
              <w:rPr>
                <w:sz w:val="15"/>
                <w:szCs w:val="15"/>
                <w:color w:val="auto"/>
              </w:rPr>
            </w:pPr>
          </w:p>
        </w:tc>
        <w:tc>
          <w:tcPr>
            <w:tcW w:w="48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end of year</w:t>
            </w:r>
          </w:p>
        </w:tc>
        <w:tc>
          <w:tcPr>
            <w:tcW w:w="48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886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w:t>
            </w:r>
          </w:p>
        </w:tc>
      </w:tr>
      <w:tr>
        <w:trPr>
          <w:trHeight w:val="191"/>
        </w:trPr>
        <w:tc>
          <w:tcPr>
            <w:tcW w:w="5320" w:type="dxa"/>
            <w:vAlign w:val="bottom"/>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69"/>
        </w:trPr>
        <w:tc>
          <w:tcPr>
            <w:tcW w:w="5320" w:type="dxa"/>
            <w:vAlign w:val="bottom"/>
          </w:tcPr>
          <w:p>
            <w:pPr>
              <w:ind w:left="20"/>
              <w:spacing w:after="0"/>
              <w:rPr>
                <w:sz w:val="20"/>
                <w:szCs w:val="20"/>
                <w:color w:val="auto"/>
              </w:rPr>
            </w:pPr>
            <w:r>
              <w:rPr>
                <w:rFonts w:ascii="Arial" w:cs="Arial" w:eastAsia="Arial" w:hAnsi="Arial"/>
                <w:sz w:val="13"/>
                <w:szCs w:val="13"/>
                <w:color w:val="auto"/>
              </w:rPr>
              <w:t>Current (note 20)</w:t>
            </w:r>
          </w:p>
        </w:tc>
        <w:tc>
          <w:tcPr>
            <w:tcW w:w="4820" w:type="dxa"/>
            <w:vAlign w:val="bottom"/>
          </w:tcPr>
          <w:p>
            <w:pPr>
              <w:jc w:val="right"/>
              <w:ind w:right="336"/>
              <w:spacing w:after="0"/>
              <w:rPr>
                <w:sz w:val="20"/>
                <w:szCs w:val="20"/>
                <w:color w:val="auto"/>
              </w:rPr>
            </w:pPr>
            <w:r>
              <w:rPr>
                <w:rFonts w:ascii="Arial" w:cs="Arial" w:eastAsia="Arial" w:hAnsi="Arial"/>
                <w:sz w:val="13"/>
                <w:szCs w:val="13"/>
                <w:b w:val="1"/>
                <w:bCs w:val="1"/>
                <w:color w:val="auto"/>
              </w:rPr>
              <w:t>48</w:t>
            </w:r>
          </w:p>
        </w:tc>
        <w:tc>
          <w:tcPr>
            <w:tcW w:w="11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(note 20)</w:t>
            </w:r>
          </w:p>
        </w:tc>
        <w:tc>
          <w:tcPr>
            <w:tcW w:w="48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838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w:t>
            </w:r>
          </w:p>
        </w:tc>
      </w:tr>
      <w:tr>
        <w:trPr>
          <w:trHeight w:val="182"/>
        </w:trPr>
        <w:tc>
          <w:tcPr>
            <w:tcW w:w="53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1"/>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8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886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696" w:right="3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71"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23.</w:t>
      </w:r>
      <w:r>
        <w:rPr>
          <w:sz w:val="20"/>
          <w:szCs w:val="20"/>
          <w:color w:val="auto"/>
        </w:rPr>
        <w:tab/>
      </w:r>
      <w:r>
        <w:rPr>
          <w:rFonts w:ascii="Arial" w:cs="Arial" w:eastAsia="Arial" w:hAnsi="Arial"/>
          <w:sz w:val="12"/>
          <w:szCs w:val="12"/>
          <w:b w:val="1"/>
          <w:bCs w:val="1"/>
          <w:color w:val="auto"/>
        </w:rPr>
        <w:t>Bank credit lines and loan facilities</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Reconciliation of opening to closing net debt: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420" w:type="dxa"/>
            <w:vAlign w:val="bottom"/>
            <w:tcBorders>
              <w:top w:val="single" w:sz="8" w:color="auto"/>
            </w:tcBorders>
            <w:shd w:val="clear" w:color="auto" w:fill="CCEEFF"/>
          </w:tcPr>
          <w:p>
            <w:pPr>
              <w:spacing w:after="0"/>
              <w:rPr>
                <w:sz w:val="11"/>
                <w:szCs w:val="11"/>
                <w:color w:val="auto"/>
              </w:rPr>
            </w:pPr>
          </w:p>
        </w:tc>
        <w:tc>
          <w:tcPr>
            <w:tcW w:w="1880" w:type="dxa"/>
            <w:vAlign w:val="bottom"/>
            <w:tcBorders>
              <w:top w:val="single" w:sz="8" w:color="auto"/>
            </w:tcBorders>
            <w:vMerge w:val="restart"/>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Balance 1 Jan 2020</w:t>
            </w:r>
          </w:p>
        </w:tc>
        <w:tc>
          <w:tcPr>
            <w:tcW w:w="1480" w:type="dxa"/>
            <w:vAlign w:val="bottom"/>
            <w:tcBorders>
              <w:top w:val="single" w:sz="8" w:color="auto"/>
            </w:tcBorders>
            <w:vMerge w:val="restart"/>
            <w:shd w:val="clear" w:color="auto" w:fill="CCEEFF"/>
          </w:tcPr>
          <w:p>
            <w:pPr>
              <w:ind w:left="380"/>
              <w:spacing w:after="0"/>
              <w:rPr>
                <w:sz w:val="20"/>
                <w:szCs w:val="20"/>
                <w:color w:val="auto"/>
              </w:rPr>
            </w:pPr>
            <w:r>
              <w:rPr>
                <w:rFonts w:ascii="Arial" w:cs="Arial" w:eastAsia="Arial" w:hAnsi="Arial"/>
                <w:sz w:val="13"/>
                <w:szCs w:val="13"/>
                <w:b w:val="1"/>
                <w:bCs w:val="1"/>
                <w:color w:val="auto"/>
              </w:rPr>
              <w:t>Drawn down</w:t>
            </w:r>
          </w:p>
        </w:tc>
        <w:tc>
          <w:tcPr>
            <w:tcW w:w="1160" w:type="dxa"/>
            <w:vAlign w:val="bottom"/>
            <w:tcBorders>
              <w:top w:val="single" w:sz="8" w:color="auto"/>
            </w:tcBorders>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Repaid</w:t>
            </w:r>
          </w:p>
        </w:tc>
        <w:tc>
          <w:tcPr>
            <w:tcW w:w="1520" w:type="dxa"/>
            <w:vAlign w:val="bottom"/>
            <w:tcBorders>
              <w:top w:val="single" w:sz="8" w:color="auto"/>
            </w:tcBorders>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Net cash inflow</w:t>
            </w:r>
          </w:p>
        </w:tc>
        <w:tc>
          <w:tcPr>
            <w:tcW w:w="1380" w:type="dxa"/>
            <w:vAlign w:val="bottom"/>
            <w:tcBorders>
              <w:top w:val="single" w:sz="8" w:color="auto"/>
            </w:tcBorders>
            <w:shd w:val="clear" w:color="auto" w:fill="CCEEFF"/>
          </w:tcPr>
          <w:p>
            <w:pPr>
              <w:jc w:val="right"/>
              <w:ind w:right="76"/>
              <w:spacing w:after="0" w:line="133" w:lineRule="exact"/>
              <w:rPr>
                <w:sz w:val="20"/>
                <w:szCs w:val="20"/>
                <w:color w:val="auto"/>
              </w:rPr>
            </w:pPr>
            <w:r>
              <w:rPr>
                <w:rFonts w:ascii="Arial" w:cs="Arial" w:eastAsia="Arial" w:hAnsi="Arial"/>
                <w:sz w:val="13"/>
                <w:szCs w:val="13"/>
                <w:b w:val="1"/>
                <w:bCs w:val="1"/>
                <w:color w:val="auto"/>
              </w:rPr>
              <w:t>Other non-cash</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 Dec 2020</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vMerge w:val="continue"/>
            <w:shd w:val="clear" w:color="auto" w:fill="CCEEFF"/>
          </w:tcPr>
          <w:p>
            <w:pPr>
              <w:spacing w:after="0"/>
              <w:rPr>
                <w:sz w:val="14"/>
                <w:szCs w:val="14"/>
                <w:color w:val="auto"/>
              </w:rPr>
            </w:pP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520" w:type="dxa"/>
            <w:vAlign w:val="bottom"/>
            <w:tcBorders>
              <w:bottom w:val="single" w:sz="8" w:color="auto"/>
            </w:tcBorders>
            <w:vMerge w:val="continue"/>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adjustments</w:t>
            </w:r>
          </w:p>
        </w:tc>
        <w:tc>
          <w:tcPr>
            <w:tcW w:w="14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tcPr>
          <w:p>
            <w:pPr>
              <w:ind w:left="20"/>
              <w:spacing w:after="0" w:line="131" w:lineRule="exact"/>
              <w:rPr>
                <w:sz w:val="20"/>
                <w:szCs w:val="20"/>
                <w:color w:val="auto"/>
              </w:rPr>
            </w:pPr>
            <w:r>
              <w:rPr>
                <w:rFonts w:ascii="Arial" w:cs="Arial" w:eastAsia="Arial" w:hAnsi="Arial"/>
                <w:sz w:val="13"/>
                <w:szCs w:val="13"/>
                <w:color w:val="auto"/>
              </w:rPr>
              <w:t>Net cash and cash</w:t>
            </w:r>
          </w:p>
        </w:tc>
        <w:tc>
          <w:tcPr>
            <w:tcW w:w="18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20" w:type="dxa"/>
            <w:vAlign w:val="bottom"/>
          </w:tcPr>
          <w:p>
            <w:pPr>
              <w:ind w:left="20"/>
              <w:spacing w:after="0"/>
              <w:rPr>
                <w:sz w:val="20"/>
                <w:szCs w:val="20"/>
                <w:color w:val="auto"/>
              </w:rPr>
            </w:pPr>
            <w:r>
              <w:rPr>
                <w:rFonts w:ascii="Arial" w:cs="Arial" w:eastAsia="Arial" w:hAnsi="Arial"/>
                <w:sz w:val="13"/>
                <w:szCs w:val="13"/>
                <w:color w:val="auto"/>
              </w:rPr>
              <w:t>equivalents</w:t>
            </w:r>
          </w:p>
        </w:tc>
        <w:tc>
          <w:tcPr>
            <w:tcW w:w="1880" w:type="dxa"/>
            <w:vAlign w:val="bottom"/>
          </w:tcPr>
          <w:p>
            <w:pPr>
              <w:jc w:val="right"/>
              <w:ind w:right="356"/>
              <w:spacing w:after="0"/>
              <w:rPr>
                <w:sz w:val="20"/>
                <w:szCs w:val="20"/>
                <w:color w:val="auto"/>
              </w:rPr>
            </w:pPr>
            <w:r>
              <w:rPr>
                <w:rFonts w:ascii="Arial" w:cs="Arial" w:eastAsia="Arial" w:hAnsi="Arial"/>
                <w:sz w:val="13"/>
                <w:szCs w:val="13"/>
                <w:color w:val="auto"/>
              </w:rPr>
              <w:t>520,309</w:t>
            </w:r>
          </w:p>
        </w:tc>
        <w:tc>
          <w:tcPr>
            <w:tcW w:w="1480" w:type="dxa"/>
            <w:vAlign w:val="bottom"/>
          </w:tcPr>
          <w:p>
            <w:pPr>
              <w:ind w:left="96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276"/>
              <w:spacing w:after="0"/>
              <w:rPr>
                <w:sz w:val="20"/>
                <w:szCs w:val="20"/>
                <w:color w:val="auto"/>
              </w:rPr>
            </w:pPr>
            <w:r>
              <w:rPr>
                <w:rFonts w:ascii="Arial" w:cs="Arial" w:eastAsia="Arial" w:hAnsi="Arial"/>
                <w:sz w:val="13"/>
                <w:szCs w:val="13"/>
                <w:color w:val="auto"/>
              </w:rPr>
              <w:t>313,126</w:t>
            </w:r>
          </w:p>
        </w:tc>
        <w:tc>
          <w:tcPr>
            <w:tcW w:w="1380" w:type="dxa"/>
            <w:vAlign w:val="bottom"/>
          </w:tcPr>
          <w:p>
            <w:pPr>
              <w:jc w:val="right"/>
              <w:ind w:right="116"/>
              <w:spacing w:after="0"/>
              <w:rPr>
                <w:sz w:val="20"/>
                <w:szCs w:val="20"/>
                <w:color w:val="auto"/>
              </w:rPr>
            </w:pPr>
            <w:r>
              <w:rPr>
                <w:rFonts w:ascii="Arial" w:cs="Arial" w:eastAsia="Arial" w:hAnsi="Arial"/>
                <w:sz w:val="13"/>
                <w:szCs w:val="13"/>
                <w:color w:val="auto"/>
              </w:rPr>
              <w:t>6,870</w:t>
            </w:r>
          </w:p>
        </w:tc>
        <w:tc>
          <w:tcPr>
            <w:tcW w:w="1420" w:type="dxa"/>
            <w:vAlign w:val="bottom"/>
          </w:tcPr>
          <w:p>
            <w:pPr>
              <w:jc w:val="right"/>
              <w:ind w:right="16"/>
              <w:spacing w:after="0"/>
              <w:rPr>
                <w:sz w:val="20"/>
                <w:szCs w:val="20"/>
                <w:color w:val="auto"/>
              </w:rPr>
            </w:pPr>
            <w:r>
              <w:rPr>
                <w:rFonts w:ascii="Arial" w:cs="Arial" w:eastAsia="Arial" w:hAnsi="Arial"/>
                <w:sz w:val="13"/>
                <w:szCs w:val="13"/>
                <w:color w:val="auto"/>
              </w:rPr>
              <w:t>840,305</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Financial assets at fair value through</w:t>
            </w:r>
          </w:p>
        </w:tc>
        <w:tc>
          <w:tcPr>
            <w:tcW w:w="18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88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49,628</w:t>
            </w:r>
          </w:p>
        </w:tc>
        <w:tc>
          <w:tcPr>
            <w:tcW w:w="1480" w:type="dxa"/>
            <w:vAlign w:val="bottom"/>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(47,902)</w:t>
            </w:r>
          </w:p>
        </w:tc>
        <w:tc>
          <w:tcPr>
            <w:tcW w:w="13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1,729</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Arial" w:cs="Arial" w:eastAsia="Arial" w:hAnsi="Arial"/>
                <w:sz w:val="13"/>
                <w:szCs w:val="13"/>
                <w:color w:val="auto"/>
              </w:rPr>
              <w:t>Lease liabilities</w:t>
            </w:r>
          </w:p>
        </w:tc>
        <w:tc>
          <w:tcPr>
            <w:tcW w:w="1880" w:type="dxa"/>
            <w:vAlign w:val="bottom"/>
          </w:tcPr>
          <w:p>
            <w:pPr>
              <w:jc w:val="right"/>
              <w:ind w:right="336"/>
              <w:spacing w:after="0"/>
              <w:rPr>
                <w:sz w:val="20"/>
                <w:szCs w:val="20"/>
                <w:color w:val="auto"/>
              </w:rPr>
            </w:pPr>
            <w:r>
              <w:rPr>
                <w:rFonts w:ascii="Arial" w:cs="Arial" w:eastAsia="Arial" w:hAnsi="Arial"/>
                <w:sz w:val="13"/>
                <w:szCs w:val="13"/>
                <w:color w:val="auto"/>
              </w:rPr>
              <w:t>(104,913)</w:t>
            </w:r>
          </w:p>
        </w:tc>
        <w:tc>
          <w:tcPr>
            <w:tcW w:w="1480" w:type="dxa"/>
            <w:vAlign w:val="bottom"/>
          </w:tcPr>
          <w:p>
            <w:pPr>
              <w:ind w:left="96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76"/>
              <w:spacing w:after="0"/>
              <w:rPr>
                <w:sz w:val="20"/>
                <w:szCs w:val="20"/>
                <w:color w:val="auto"/>
              </w:rPr>
            </w:pPr>
            <w:r>
              <w:rPr>
                <w:rFonts w:ascii="Arial" w:cs="Arial" w:eastAsia="Arial" w:hAnsi="Arial"/>
                <w:sz w:val="13"/>
                <w:szCs w:val="13"/>
                <w:color w:val="auto"/>
              </w:rPr>
              <w:t>30,504</w:t>
            </w:r>
          </w:p>
        </w:tc>
        <w:tc>
          <w:tcPr>
            <w:tcW w:w="152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76"/>
              <w:spacing w:after="0"/>
              <w:rPr>
                <w:sz w:val="20"/>
                <w:szCs w:val="20"/>
                <w:color w:val="auto"/>
              </w:rPr>
            </w:pPr>
            <w:r>
              <w:rPr>
                <w:rFonts w:ascii="Arial" w:cs="Arial" w:eastAsia="Arial" w:hAnsi="Arial"/>
                <w:sz w:val="13"/>
                <w:szCs w:val="13"/>
                <w:color w:val="auto"/>
              </w:rPr>
              <w:t>(10,726)</w:t>
            </w:r>
          </w:p>
        </w:tc>
        <w:tc>
          <w:tcPr>
            <w:tcW w:w="1420" w:type="dxa"/>
            <w:vAlign w:val="bottom"/>
          </w:tcPr>
          <w:p>
            <w:pPr>
              <w:jc w:val="right"/>
              <w:spacing w:after="0"/>
              <w:rPr>
                <w:sz w:val="20"/>
                <w:szCs w:val="20"/>
                <w:color w:val="auto"/>
              </w:rPr>
            </w:pPr>
            <w:r>
              <w:rPr>
                <w:rFonts w:ascii="Arial" w:cs="Arial" w:eastAsia="Arial" w:hAnsi="Arial"/>
                <w:sz w:val="13"/>
                <w:szCs w:val="13"/>
                <w:color w:val="auto"/>
              </w:rPr>
              <w:t>(85,135)</w:t>
            </w:r>
          </w:p>
        </w:tc>
        <w:tc>
          <w:tcPr>
            <w:tcW w:w="0" w:type="dxa"/>
            <w:vAlign w:val="bottom"/>
          </w:tcPr>
          <w:p>
            <w:pPr>
              <w:spacing w:after="0"/>
              <w:rPr>
                <w:sz w:val="1"/>
                <w:szCs w:val="1"/>
                <w:color w:val="auto"/>
              </w:rPr>
            </w:pPr>
          </w:p>
        </w:tc>
      </w:tr>
      <w:tr>
        <w:trPr>
          <w:trHeight w:val="170"/>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Private placement notes</w:t>
            </w:r>
          </w:p>
        </w:tc>
        <w:tc>
          <w:tcPr>
            <w:tcW w:w="18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(349,640)</w:t>
            </w:r>
          </w:p>
        </w:tc>
        <w:tc>
          <w:tcPr>
            <w:tcW w:w="1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(350,000)</w:t>
            </w:r>
          </w:p>
        </w:tc>
        <w:tc>
          <w:tcPr>
            <w:tcW w:w="11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350,000</w:t>
            </w:r>
          </w:p>
        </w:tc>
        <w:tc>
          <w:tcPr>
            <w:tcW w:w="1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1,163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(348,477)</w:t>
            </w:r>
          </w:p>
        </w:tc>
        <w:tc>
          <w:tcPr>
            <w:tcW w:w="0" w:type="dxa"/>
            <w:vAlign w:val="bottom"/>
          </w:tcPr>
          <w:p>
            <w:pPr>
              <w:spacing w:after="0"/>
              <w:rPr>
                <w:sz w:val="1"/>
                <w:szCs w:val="1"/>
                <w:color w:val="auto"/>
              </w:rPr>
            </w:pPr>
          </w:p>
        </w:tc>
      </w:tr>
      <w:tr>
        <w:trPr>
          <w:trHeight w:val="162"/>
        </w:trPr>
        <w:tc>
          <w:tcPr>
            <w:tcW w:w="24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115,384</w:t>
            </w:r>
          </w:p>
        </w:tc>
        <w:tc>
          <w:tcPr>
            <w:tcW w:w="14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(350,000)</w:t>
            </w:r>
          </w:p>
        </w:tc>
        <w:tc>
          <w:tcPr>
            <w:tcW w:w="11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380,504</w:t>
            </w:r>
          </w:p>
        </w:tc>
        <w:tc>
          <w:tcPr>
            <w:tcW w:w="15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265,224</w:t>
            </w:r>
          </w:p>
        </w:tc>
        <w:tc>
          <w:tcPr>
            <w:tcW w:w="13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(2,690)</w:t>
            </w: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408,422</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200" w:hanging="195"/>
        <w:spacing w:after="0" w:line="244" w:lineRule="auto"/>
        <w:tabs>
          <w:tab w:leader="none" w:pos="191" w:val="left"/>
        </w:tabs>
        <w:numPr>
          <w:ilvl w:val="0"/>
          <w:numId w:val="108"/>
        </w:numPr>
        <w:rPr>
          <w:rFonts w:ascii="Arial" w:cs="Arial" w:eastAsia="Arial" w:hAnsi="Arial"/>
          <w:sz w:val="13"/>
          <w:szCs w:val="13"/>
          <w:color w:val="auto"/>
        </w:rPr>
      </w:pPr>
      <w:r>
        <w:rPr>
          <w:rFonts w:ascii="Arial" w:cs="Arial" w:eastAsia="Arial" w:hAnsi="Arial"/>
          <w:sz w:val="13"/>
          <w:szCs w:val="13"/>
          <w:color w:val="auto"/>
        </w:rPr>
        <w:t>*On December 8, 2020, $350.0 million was drawn down in respect of the 2020 Senior Notes. On 15 December 2020, $350.0 million was repaid in respect of the maturity of the 2015 Senior Notes. As a result, bank credit lines and loan facilities disclosed on the Consolidated Balance Sheets have moved from current to non-current for the year ended 31 December 2020.</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On 15 December 15, 2015, ICON Investments Five Unlimited Company issued senior notes, '2015 Senior Notes' for aggregate gross proceeds of $350.0 million in a private placement which was guaranteed by ICON plc. Interest payable was fixed at 3.64% and in October 2015, the Company entered into an interest rate hedge in respect of the planned issuance of the 2015 Senior Notes in December 2015. The interest rate hedge matured in November 2015 when the interest rate on the 2015 Senior Notes was fixed. The interest rate hedge was effective in accordance with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The cash proceeds, representing the realised gain on the interest rate hedge, were received on maturity in November 2015. The 2015 Senior Notes matured on 15 December</w:t>
      </w:r>
      <w:r>
        <w:rPr>
          <w:rFonts w:ascii="Arial" w:cs="Arial" w:eastAsia="Arial" w:hAnsi="Arial"/>
          <w:sz w:val="13"/>
          <w:szCs w:val="13"/>
          <w:i w:val="1"/>
          <w:iCs w:val="1"/>
          <w:color w:val="auto"/>
        </w:rPr>
        <w:t xml:space="preserve"> </w:t>
      </w:r>
      <w:r>
        <w:rPr>
          <w:rFonts w:ascii="Arial" w:cs="Arial" w:eastAsia="Arial" w:hAnsi="Arial"/>
          <w:sz w:val="13"/>
          <w:szCs w:val="13"/>
          <w:color w:val="auto"/>
        </w:rPr>
        <w:t>2020 and were repaid in full.</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On 8 December 2020, ICON Investments Five Unlimited Company issued new senior notes, '2020 Senior Notes' for aggregate gross proceeds of $350.0 million in a private placement which was guaranteed by ICON plc. The 2020 Senior Notes were issued in two tranches; Series A Notes of $275.0 million which will mature on 8 December 2023 and Series B Notes of $75.0 million which will mature on 8 December 2025. Interest payable on the 2020 Senior Notes is fixed at 2.32% and 2.43% for Series A Notes and Series B Notes respectively. The interest is payable semi-annually on the 2020 Senior Notes on each 8 June and 8 December, which will commence on 8 June 2021. The Company entered into an interest rate hedge in respect of the planned issuance of the 2020 Senior Notes in June 2020. The interest rate hedge matured in July 2020 when the interest rates on the 2020 Senior Notes was fixed. The interest rate hedge was effective in accordance with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There was a cash outflow on maturity in July 2020 of $0.9 million, representing the realized loss on the interest rate hedge.</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12 March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bears interest at LIBOR plus a margin. We continue to monitor the phasing out of LIBOR which is currently scheduled to begin in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 No amounts were drawn at 31 December 2020, or at 31 December 2019, in respect of the Revolving Credit Facility. Amounts available to the Group under the facility at 31 December 2020 and at 31 December 2019 were $150.0 million.</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Note Purchase and Guarantee Agreement includes certain financial covenants that require compliance with a consolidated leverage ratio and a maximum amount of priority debt. The financial covenants are defined in the Note Purchase and Guarantee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Senior Notes and the Revolving Credit Facility credit agreements also include certain customary covenants that restrict the Group’s ability to enter into certain transactions or events including:</w:t>
      </w:r>
    </w:p>
    <w:p>
      <w:pPr>
        <w:spacing w:after="0" w:line="189" w:lineRule="exact"/>
        <w:rPr>
          <w:sz w:val="20"/>
          <w:szCs w:val="20"/>
          <w:color w:val="auto"/>
        </w:rPr>
      </w:pPr>
    </w:p>
    <w:p>
      <w:pPr>
        <w:ind w:left="500" w:hanging="240"/>
        <w:spacing w:after="0"/>
        <w:tabs>
          <w:tab w:leader="none" w:pos="5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incur or assume liens or additional debt;</w:t>
      </w:r>
    </w:p>
    <w:p>
      <w:pPr>
        <w:ind w:left="500" w:hanging="240"/>
        <w:spacing w:after="0"/>
        <w:tabs>
          <w:tab w:leader="none" w:pos="5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dispose of assets;</w:t>
      </w:r>
    </w:p>
    <w:p>
      <w:pPr>
        <w:ind w:left="500" w:hanging="240"/>
        <w:spacing w:after="0"/>
        <w:tabs>
          <w:tab w:leader="none" w:pos="5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engage in mergers or reorganisations; or</w:t>
      </w:r>
    </w:p>
    <w:p>
      <w:pPr>
        <w:ind w:left="500" w:hanging="240"/>
        <w:spacing w:after="0"/>
        <w:tabs>
          <w:tab w:leader="none" w:pos="5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enter into certain types of transactions with affiliates.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696" w:right="31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71"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2"/>
          <w:szCs w:val="12"/>
          <w:b w:val="1"/>
          <w:bCs w:val="1"/>
          <w:color w:val="auto"/>
        </w:rPr>
        <w:t>Share capital</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40" w:type="dxa"/>
            <w:vAlign w:val="bottom"/>
          </w:tcPr>
          <w:p>
            <w:pPr>
              <w:spacing w:after="0"/>
              <w:rPr>
                <w:sz w:val="20"/>
                <w:szCs w:val="20"/>
                <w:color w:val="auto"/>
              </w:rPr>
            </w:pPr>
            <w:r>
              <w:rPr>
                <w:rFonts w:ascii="Arial" w:cs="Arial" w:eastAsia="Arial" w:hAnsi="Arial"/>
                <w:sz w:val="13"/>
                <w:szCs w:val="13"/>
                <w:b w:val="1"/>
                <w:bCs w:val="1"/>
                <w:i w:val="1"/>
                <w:iCs w:val="1"/>
                <w:color w:val="auto"/>
              </w:rPr>
              <w:t>Group and Company</w:t>
            </w:r>
          </w:p>
        </w:tc>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66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Authorised share capital:</w:t>
            </w:r>
          </w:p>
        </w:tc>
        <w:tc>
          <w:tcPr>
            <w:tcW w:w="31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No. of Ordinary Shares</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Ordinary shares of par value €0.06</w:t>
            </w:r>
          </w:p>
        </w:tc>
        <w:tc>
          <w:tcPr>
            <w:tcW w:w="31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6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4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6640" w:type="dxa"/>
            <w:vAlign w:val="bottom"/>
            <w:shd w:val="clear" w:color="auto" w:fill="CCEEFF"/>
          </w:tcPr>
          <w:p>
            <w:pPr>
              <w:spacing w:after="0"/>
              <w:rPr>
                <w:sz w:val="11"/>
                <w:szCs w:val="11"/>
                <w:color w:val="auto"/>
              </w:rPr>
            </w:pPr>
          </w:p>
        </w:tc>
        <w:tc>
          <w:tcPr>
            <w:tcW w:w="31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31 December</w:t>
            </w:r>
          </w:p>
        </w:tc>
        <w:tc>
          <w:tcPr>
            <w:tcW w:w="146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shd w:val="clear" w:color="auto" w:fill="CCEEFF"/>
          </w:tcPr>
          <w:p>
            <w:pPr>
              <w:spacing w:after="0"/>
              <w:rPr>
                <w:sz w:val="14"/>
                <w:szCs w:val="14"/>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60"/>
        </w:trPr>
        <w:tc>
          <w:tcPr>
            <w:tcW w:w="6640" w:type="dxa"/>
            <w:vAlign w:val="bottom"/>
          </w:tcPr>
          <w:p>
            <w:pPr>
              <w:spacing w:after="0"/>
              <w:rPr>
                <w:sz w:val="13"/>
                <w:szCs w:val="13"/>
                <w:color w:val="auto"/>
              </w:rPr>
            </w:pPr>
          </w:p>
        </w:tc>
        <w:tc>
          <w:tcPr>
            <w:tcW w:w="31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640" w:type="dxa"/>
            <w:vAlign w:val="bottom"/>
          </w:tcPr>
          <w:p>
            <w:pPr>
              <w:ind w:left="20"/>
              <w:spacing w:after="0"/>
              <w:rPr>
                <w:sz w:val="20"/>
                <w:szCs w:val="20"/>
                <w:color w:val="auto"/>
              </w:rPr>
            </w:pPr>
            <w:r>
              <w:rPr>
                <w:rFonts w:ascii="Arial" w:cs="Arial" w:eastAsia="Arial" w:hAnsi="Arial"/>
                <w:sz w:val="13"/>
                <w:szCs w:val="13"/>
                <w:b w:val="1"/>
                <w:bCs w:val="1"/>
                <w:color w:val="auto"/>
              </w:rPr>
              <w:t>Allotted, called up and fully paid</w:t>
            </w:r>
          </w:p>
        </w:tc>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52,788,093 (31 December 2019: 53,622,206) ordinary shares of €0.06 each</w:t>
            </w:r>
          </w:p>
        </w:tc>
        <w:tc>
          <w:tcPr>
            <w:tcW w:w="3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4,580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6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Issued, fully paid share capital</w:t>
            </w:r>
          </w:p>
        </w:tc>
        <w:tc>
          <w:tcPr>
            <w:tcW w:w="3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40" w:type="dxa"/>
            <w:vAlign w:val="bottom"/>
          </w:tcPr>
          <w:p>
            <w:pPr>
              <w:ind w:left="20"/>
              <w:spacing w:after="0"/>
              <w:rPr>
                <w:sz w:val="20"/>
                <w:szCs w:val="20"/>
                <w:color w:val="auto"/>
              </w:rPr>
            </w:pPr>
            <w:r>
              <w:rPr>
                <w:rFonts w:ascii="Arial" w:cs="Arial" w:eastAsia="Arial" w:hAnsi="Arial"/>
                <w:sz w:val="13"/>
                <w:szCs w:val="13"/>
                <w:color w:val="auto"/>
              </w:rPr>
              <w:t>At beginning of year</w:t>
            </w:r>
          </w:p>
        </w:tc>
        <w:tc>
          <w:tcPr>
            <w:tcW w:w="3180" w:type="dxa"/>
            <w:vAlign w:val="bottom"/>
          </w:tcPr>
          <w:p>
            <w:pPr>
              <w:jc w:val="right"/>
              <w:ind w:right="16"/>
              <w:spacing w:after="0"/>
              <w:rPr>
                <w:sz w:val="20"/>
                <w:szCs w:val="20"/>
                <w:color w:val="auto"/>
              </w:rPr>
            </w:pPr>
            <w:r>
              <w:rPr>
                <w:rFonts w:ascii="Arial" w:cs="Arial" w:eastAsia="Arial" w:hAnsi="Arial"/>
                <w:sz w:val="13"/>
                <w:szCs w:val="13"/>
                <w:b w:val="1"/>
                <w:bCs w:val="1"/>
                <w:color w:val="auto"/>
              </w:rPr>
              <w:t>4,635</w:t>
            </w:r>
          </w:p>
        </w:tc>
        <w:tc>
          <w:tcPr>
            <w:tcW w:w="1440" w:type="dxa"/>
            <w:vAlign w:val="bottom"/>
          </w:tcPr>
          <w:p>
            <w:pPr>
              <w:jc w:val="right"/>
              <w:spacing w:after="0"/>
              <w:rPr>
                <w:sz w:val="20"/>
                <w:szCs w:val="20"/>
                <w:color w:val="auto"/>
              </w:rPr>
            </w:pPr>
            <w:r>
              <w:rPr>
                <w:rFonts w:ascii="Arial" w:cs="Arial" w:eastAsia="Arial" w:hAnsi="Arial"/>
                <w:sz w:val="13"/>
                <w:szCs w:val="13"/>
                <w:color w:val="auto"/>
              </w:rPr>
              <w:t>4,658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share options exercised</w:t>
            </w:r>
          </w:p>
        </w:tc>
        <w:tc>
          <w:tcPr>
            <w:tcW w:w="31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13</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40" w:type="dxa"/>
            <w:vAlign w:val="bottom"/>
          </w:tcPr>
          <w:p>
            <w:pPr>
              <w:ind w:left="20"/>
              <w:spacing w:after="0"/>
              <w:rPr>
                <w:sz w:val="20"/>
                <w:szCs w:val="20"/>
                <w:color w:val="auto"/>
              </w:rPr>
            </w:pPr>
            <w:r>
              <w:rPr>
                <w:rFonts w:ascii="Arial" w:cs="Arial" w:eastAsia="Arial" w:hAnsi="Arial"/>
                <w:sz w:val="13"/>
                <w:szCs w:val="13"/>
                <w:color w:val="auto"/>
              </w:rPr>
              <w:t>Restricted share units/ performance share units</w:t>
            </w:r>
          </w:p>
        </w:tc>
        <w:tc>
          <w:tcPr>
            <w:tcW w:w="3180" w:type="dxa"/>
            <w:vAlign w:val="bottom"/>
          </w:tcPr>
          <w:p>
            <w:pPr>
              <w:jc w:val="right"/>
              <w:ind w:right="16"/>
              <w:spacing w:after="0"/>
              <w:rPr>
                <w:sz w:val="20"/>
                <w:szCs w:val="20"/>
                <w:color w:val="auto"/>
              </w:rPr>
            </w:pPr>
            <w:r>
              <w:rPr>
                <w:rFonts w:ascii="Arial" w:cs="Arial" w:eastAsia="Arial" w:hAnsi="Arial"/>
                <w:sz w:val="13"/>
                <w:szCs w:val="13"/>
                <w:b w:val="1"/>
                <w:bCs w:val="1"/>
                <w:color w:val="auto"/>
              </w:rPr>
              <w:t>14</w:t>
            </w:r>
          </w:p>
        </w:tc>
        <w:tc>
          <w:tcPr>
            <w:tcW w:w="144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Repurchase of ordinary shares</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6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3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4,580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4,635</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spacing w:after="0"/>
        <w:rPr>
          <w:sz w:val="20"/>
          <w:szCs w:val="20"/>
          <w:color w:val="auto"/>
        </w:rPr>
      </w:pPr>
      <w:r>
        <w:rPr>
          <w:rFonts w:ascii="Arial" w:cs="Arial" w:eastAsia="Arial" w:hAnsi="Arial"/>
          <w:sz w:val="13"/>
          <w:szCs w:val="13"/>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year ended 31 December 2020, 193,417 options were exercised by employees at an average exercise price of $68.19 per share for total proceeds of $13.2 million. During the year ended 31 December 2020, 144,172 ordinary shares were issued in respect of certain RSUs and 63,516 ordinary shares were issued in respect of PSUs previously awarded by the Company.</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year ended 31 December 2019, 329,870 options were exercised by employees at an average exercise price of $65.54 per share for total proceeds of $21.6 million. During the year ended 31 December 2019, 237,119 ordinary shares were issued in respect of certain RSUs and 118,611 ordinary shares were issued in respect of PSUs previously awarded by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repurchase programme</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A resolution was passed at the Company’s Annual General Meeting (“AGM”) on 22 July 2016, which authorised the Directors to purchase (buyback) up to 10% of the outstanding shares in the Company. This authorisation was renewed at the Company's AGM on each of 25 July 2017, 24 July 2018, July 23, 2019 and 21 July 2020. On 3 October 2016, the Company commenced a share buyback program of up to $400 million. The share buyback program was completed during the year ended 31 December 2018 with a total of 4,026,576 ordinary shares redeemed for a total consideration of $372.1 million. On 8 January 2019, the Company commenced a further share buyback program of up to 1.0 million ordinary shares which was completed during the year ended 31 December 2019. These shares were redeemed by the Company for a total consideration of $141.6 million. On 22 October 2019, the Company commenced a further share buyback program. At 31 December 2019, 35,100 ordinary shares were redeemed by the Company for a total consideration of $5.3 million. During the year ended 31 December 2020, 1,235,218 ordinary shares were redeemed by the Company under this buyback program for a total consideration of $175.0 million.</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ordinary shares that were redeemed under the buyback programme were cancelled in accordance with the Constitution of the Company and the nominal value of these shares transferred to other undenominated capital as required under Irish Company law.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80"/>
          </w:cols>
          <w:pgMar w:left="300" w:top="696" w:right="319" w:bottom="1440" w:gutter="0" w:footer="0" w:header="0"/>
        </w:sectPr>
      </w:pPr>
    </w:p>
    <w:bookmarkStart w:id="120" w:name="page121"/>
    <w:bookmarkEnd w:id="120"/>
    <w:p>
      <w:pPr>
        <w:ind w:left="80"/>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271" w:lineRule="exact"/>
        <w:rPr>
          <w:sz w:val="20"/>
          <w:szCs w:val="20"/>
          <w:color w:val="auto"/>
        </w:rPr>
      </w:pPr>
    </w:p>
    <w:p>
      <w:pPr>
        <w:ind w:left="400" w:hanging="315"/>
        <w:spacing w:after="0"/>
        <w:tabs>
          <w:tab w:leader="none" w:pos="40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Share capital (continued)</w:t>
      </w:r>
    </w:p>
    <w:p>
      <w:pPr>
        <w:spacing w:after="0" w:line="344" w:lineRule="exact"/>
        <w:rPr>
          <w:sz w:val="20"/>
          <w:szCs w:val="20"/>
          <w:color w:val="auto"/>
        </w:rPr>
      </w:pPr>
    </w:p>
    <w:p>
      <w:pPr>
        <w:jc w:val="both"/>
        <w:ind w:left="80"/>
        <w:spacing w:after="0" w:line="239" w:lineRule="auto"/>
        <w:rPr>
          <w:sz w:val="20"/>
          <w:szCs w:val="20"/>
          <w:color w:val="auto"/>
        </w:rPr>
      </w:pPr>
      <w:r>
        <w:rPr>
          <w:rFonts w:ascii="Arial" w:cs="Arial" w:eastAsia="Arial" w:hAnsi="Arial"/>
          <w:sz w:val="13"/>
          <w:szCs w:val="13"/>
          <w:color w:val="auto"/>
        </w:rPr>
        <w:t>Under the repurchase programme, a broker purchased the Company’s shares from time to time on the open market or in privately negotiated transactions in accordance with agreed terms and limitations. The programme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programme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programme. In addition, acquisitions under the programme may be suspended or discontinued in certain circumstances in accordance with the agreed terms. Therefore, there can be no assurance as to the timing or number of shares that may be acquired under the programme.</w:t>
      </w:r>
    </w:p>
    <w:p>
      <w:pPr>
        <w:spacing w:after="0" w:line="257"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3"/>
          <w:szCs w:val="13"/>
          <w:b w:val="1"/>
          <w:bCs w:val="1"/>
          <w:color w:val="auto"/>
        </w:rPr>
        <w:t>25.</w:t>
      </w:r>
      <w:r>
        <w:rPr>
          <w:sz w:val="20"/>
          <w:szCs w:val="20"/>
          <w:color w:val="auto"/>
        </w:rPr>
        <w:tab/>
      </w:r>
      <w:r>
        <w:rPr>
          <w:rFonts w:ascii="Arial" w:cs="Arial" w:eastAsia="Arial" w:hAnsi="Arial"/>
          <w:sz w:val="12"/>
          <w:szCs w:val="12"/>
          <w:b w:val="1"/>
          <w:bCs w:val="1"/>
          <w:color w:val="auto"/>
        </w:rPr>
        <w:t>Capital and reserves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35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80" w:type="dxa"/>
            <w:vAlign w:val="bottom"/>
          </w:tcPr>
          <w:p>
            <w:pPr>
              <w:spacing w:after="0"/>
              <w:rPr>
                <w:sz w:val="14"/>
                <w:szCs w:val="14"/>
                <w:color w:val="auto"/>
              </w:rPr>
            </w:pPr>
          </w:p>
        </w:tc>
        <w:tc>
          <w:tcPr>
            <w:tcW w:w="6360" w:type="dxa"/>
            <w:vAlign w:val="bottom"/>
            <w:tcBorders>
              <w:bottom w:val="single" w:sz="8" w:color="auto"/>
            </w:tcBorders>
            <w:shd w:val="clear" w:color="auto" w:fill="CCEEFF"/>
          </w:tcPr>
          <w:p>
            <w:pPr>
              <w:spacing w:after="0"/>
              <w:rPr>
                <w:sz w:val="14"/>
                <w:szCs w:val="14"/>
                <w:color w:val="auto"/>
              </w:rPr>
            </w:pPr>
          </w:p>
        </w:tc>
        <w:tc>
          <w:tcPr>
            <w:tcW w:w="35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354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80" w:type="dxa"/>
            <w:vAlign w:val="bottom"/>
          </w:tcPr>
          <w:p>
            <w:pPr>
              <w:spacing w:after="0"/>
              <w:rPr>
                <w:sz w:val="17"/>
                <w:szCs w:val="17"/>
                <w:color w:val="auto"/>
              </w:rPr>
            </w:pPr>
          </w:p>
        </w:tc>
        <w:tc>
          <w:tcPr>
            <w:tcW w:w="636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69"/>
        </w:trPr>
        <w:tc>
          <w:tcPr>
            <w:tcW w:w="6440" w:type="dxa"/>
            <w:vAlign w:val="bottom"/>
            <w:gridSpan w:val="2"/>
          </w:tcPr>
          <w:p>
            <w:pPr>
              <w:spacing w:after="0"/>
              <w:rPr>
                <w:sz w:val="20"/>
                <w:szCs w:val="20"/>
                <w:color w:val="auto"/>
              </w:rPr>
            </w:pPr>
            <w:r>
              <w:rPr>
                <w:rFonts w:ascii="Arial" w:cs="Arial" w:eastAsia="Arial" w:hAnsi="Arial"/>
                <w:sz w:val="13"/>
                <w:szCs w:val="13"/>
                <w:color w:val="auto"/>
              </w:rPr>
              <w:t>are-based payment reserve</w:t>
            </w:r>
          </w:p>
        </w:tc>
        <w:tc>
          <w:tcPr>
            <w:tcW w:w="3540" w:type="dxa"/>
            <w:vAlign w:val="bottom"/>
          </w:tcPr>
          <w:p>
            <w:pPr>
              <w:jc w:val="right"/>
              <w:ind w:right="316"/>
              <w:spacing w:after="0"/>
              <w:rPr>
                <w:sz w:val="20"/>
                <w:szCs w:val="20"/>
                <w:color w:val="auto"/>
              </w:rPr>
            </w:pPr>
            <w:r>
              <w:rPr>
                <w:rFonts w:ascii="Arial" w:cs="Arial" w:eastAsia="Arial" w:hAnsi="Arial"/>
                <w:sz w:val="13"/>
                <w:szCs w:val="13"/>
                <w:b w:val="1"/>
                <w:bCs w:val="1"/>
                <w:color w:val="auto"/>
              </w:rPr>
              <w:t>179,569</w:t>
            </w:r>
          </w:p>
        </w:tc>
        <w:tc>
          <w:tcPr>
            <w:tcW w:w="1120" w:type="dxa"/>
            <w:vAlign w:val="bottom"/>
          </w:tcPr>
          <w:p>
            <w:pPr>
              <w:jc w:val="right"/>
              <w:spacing w:after="0"/>
              <w:rPr>
                <w:sz w:val="20"/>
                <w:szCs w:val="20"/>
                <w:color w:val="auto"/>
              </w:rPr>
            </w:pPr>
            <w:r>
              <w:rPr>
                <w:rFonts w:ascii="Arial" w:cs="Arial" w:eastAsia="Arial" w:hAnsi="Arial"/>
                <w:sz w:val="13"/>
                <w:szCs w:val="13"/>
                <w:color w:val="auto"/>
              </w:rPr>
              <w:t>174,230</w:t>
            </w:r>
          </w:p>
        </w:tc>
      </w:tr>
      <w:tr>
        <w:trPr>
          <w:trHeight w:val="169"/>
        </w:trPr>
        <w:tc>
          <w:tcPr>
            <w:tcW w:w="6440" w:type="dxa"/>
            <w:vAlign w:val="bottom"/>
            <w:gridSpan w:val="2"/>
          </w:tcPr>
          <w:p>
            <w:pPr>
              <w:spacing w:after="0"/>
              <w:rPr>
                <w:sz w:val="20"/>
                <w:szCs w:val="20"/>
                <w:color w:val="auto"/>
              </w:rPr>
            </w:pPr>
            <w:r>
              <w:rPr>
                <w:rFonts w:ascii="Arial" w:cs="Arial" w:eastAsia="Arial" w:hAnsi="Arial"/>
                <w:sz w:val="13"/>
                <w:szCs w:val="13"/>
                <w:color w:val="auto"/>
              </w:rPr>
              <w:t>her undenominated capital</w:t>
            </w:r>
          </w:p>
        </w:tc>
        <w:tc>
          <w:tcPr>
            <w:tcW w:w="3540" w:type="dxa"/>
            <w:vAlign w:val="bottom"/>
          </w:tcPr>
          <w:p>
            <w:pPr>
              <w:jc w:val="right"/>
              <w:ind w:right="316"/>
              <w:spacing w:after="0"/>
              <w:rPr>
                <w:sz w:val="20"/>
                <w:szCs w:val="20"/>
                <w:color w:val="auto"/>
              </w:rPr>
            </w:pPr>
            <w:r>
              <w:rPr>
                <w:rFonts w:ascii="Arial" w:cs="Arial" w:eastAsia="Arial" w:hAnsi="Arial"/>
                <w:sz w:val="13"/>
                <w:szCs w:val="13"/>
                <w:b w:val="1"/>
                <w:bCs w:val="1"/>
                <w:color w:val="auto"/>
              </w:rPr>
              <w:t>1,134</w:t>
            </w:r>
          </w:p>
        </w:tc>
        <w:tc>
          <w:tcPr>
            <w:tcW w:w="1120" w:type="dxa"/>
            <w:vAlign w:val="bottom"/>
          </w:tcPr>
          <w:p>
            <w:pPr>
              <w:jc w:val="right"/>
              <w:spacing w:after="0"/>
              <w:rPr>
                <w:sz w:val="20"/>
                <w:szCs w:val="20"/>
                <w:color w:val="auto"/>
              </w:rPr>
            </w:pPr>
            <w:r>
              <w:rPr>
                <w:rFonts w:ascii="Arial" w:cs="Arial" w:eastAsia="Arial" w:hAnsi="Arial"/>
                <w:sz w:val="13"/>
                <w:szCs w:val="13"/>
                <w:color w:val="auto"/>
              </w:rPr>
              <w:t>1,052</w:t>
            </w:r>
          </w:p>
        </w:tc>
      </w:tr>
      <w:tr>
        <w:trPr>
          <w:trHeight w:val="170"/>
        </w:trPr>
        <w:tc>
          <w:tcPr>
            <w:tcW w:w="6440" w:type="dxa"/>
            <w:vAlign w:val="bottom"/>
            <w:gridSpan w:val="2"/>
          </w:tcPr>
          <w:p>
            <w:pPr>
              <w:spacing w:after="0"/>
              <w:rPr>
                <w:sz w:val="20"/>
                <w:szCs w:val="20"/>
                <w:color w:val="auto"/>
              </w:rPr>
            </w:pPr>
            <w:r>
              <w:rPr>
                <w:rFonts w:ascii="Arial" w:cs="Arial" w:eastAsia="Arial" w:hAnsi="Arial"/>
                <w:sz w:val="13"/>
                <w:szCs w:val="13"/>
                <w:color w:val="auto"/>
              </w:rPr>
              <w:t>her reserves</w:t>
            </w:r>
          </w:p>
        </w:tc>
        <w:tc>
          <w:tcPr>
            <w:tcW w:w="3540" w:type="dxa"/>
            <w:vAlign w:val="bottom"/>
          </w:tcPr>
          <w:p>
            <w:pPr>
              <w:jc w:val="right"/>
              <w:ind w:right="316"/>
              <w:spacing w:after="0"/>
              <w:rPr>
                <w:sz w:val="20"/>
                <w:szCs w:val="20"/>
                <w:color w:val="auto"/>
              </w:rPr>
            </w:pPr>
            <w:r>
              <w:rPr>
                <w:rFonts w:ascii="Arial" w:cs="Arial" w:eastAsia="Arial" w:hAnsi="Arial"/>
                <w:sz w:val="13"/>
                <w:szCs w:val="13"/>
                <w:b w:val="1"/>
                <w:bCs w:val="1"/>
                <w:color w:val="auto"/>
              </w:rPr>
              <w:t>11,966</w:t>
            </w:r>
          </w:p>
        </w:tc>
        <w:tc>
          <w:tcPr>
            <w:tcW w:w="1120" w:type="dxa"/>
            <w:vAlign w:val="bottom"/>
          </w:tcPr>
          <w:p>
            <w:pPr>
              <w:jc w:val="right"/>
              <w:spacing w:after="0"/>
              <w:rPr>
                <w:sz w:val="20"/>
                <w:szCs w:val="20"/>
                <w:color w:val="auto"/>
              </w:rPr>
            </w:pPr>
            <w:r>
              <w:rPr>
                <w:rFonts w:ascii="Arial" w:cs="Arial" w:eastAsia="Arial" w:hAnsi="Arial"/>
                <w:sz w:val="13"/>
                <w:szCs w:val="13"/>
                <w:color w:val="auto"/>
              </w:rPr>
              <w:t>10,874</w:t>
            </w:r>
          </w:p>
        </w:tc>
      </w:tr>
      <w:tr>
        <w:trPr>
          <w:trHeight w:val="171"/>
        </w:trPr>
        <w:tc>
          <w:tcPr>
            <w:tcW w:w="80" w:type="dxa"/>
            <w:vAlign w:val="bottom"/>
          </w:tcPr>
          <w:p>
            <w:pPr>
              <w:spacing w:after="0"/>
              <w:rPr>
                <w:sz w:val="14"/>
                <w:szCs w:val="14"/>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rrency reserve</w:t>
            </w:r>
          </w:p>
        </w:tc>
        <w:tc>
          <w:tcPr>
            <w:tcW w:w="35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(24,966)</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(71,492)</w:t>
            </w:r>
          </w:p>
        </w:tc>
      </w:tr>
      <w:tr>
        <w:trPr>
          <w:trHeight w:val="169"/>
        </w:trPr>
        <w:tc>
          <w:tcPr>
            <w:tcW w:w="6440" w:type="dxa"/>
            <w:vAlign w:val="bottom"/>
            <w:gridSpan w:val="2"/>
          </w:tcPr>
          <w:p>
            <w:pPr>
              <w:ind w:left="20"/>
              <w:spacing w:after="0"/>
              <w:rPr>
                <w:sz w:val="20"/>
                <w:szCs w:val="20"/>
                <w:color w:val="auto"/>
              </w:rPr>
            </w:pPr>
            <w:r>
              <w:rPr>
                <w:rFonts w:ascii="Arial" w:cs="Arial" w:eastAsia="Arial" w:hAnsi="Arial"/>
                <w:sz w:val="13"/>
                <w:szCs w:val="13"/>
                <w:color w:val="auto"/>
              </w:rPr>
              <w:t>ancial assets at fair value through other comprehensive income reserve</w:t>
            </w:r>
          </w:p>
        </w:tc>
        <w:tc>
          <w:tcPr>
            <w:tcW w:w="3540" w:type="dxa"/>
            <w:vAlign w:val="bottom"/>
          </w:tcPr>
          <w:p>
            <w:pPr>
              <w:jc w:val="right"/>
              <w:ind w:right="316"/>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231</w:t>
            </w:r>
          </w:p>
        </w:tc>
      </w:tr>
      <w:tr>
        <w:trPr>
          <w:trHeight w:val="170"/>
        </w:trPr>
        <w:tc>
          <w:tcPr>
            <w:tcW w:w="80" w:type="dxa"/>
            <w:vAlign w:val="bottom"/>
          </w:tcPr>
          <w:p>
            <w:pPr>
              <w:spacing w:after="0"/>
              <w:rPr>
                <w:sz w:val="20"/>
                <w:szCs w:val="20"/>
                <w:color w:val="auto"/>
              </w:rPr>
            </w:pPr>
            <w:r>
              <w:rPr>
                <w:rFonts w:ascii="Arial" w:cs="Arial" w:eastAsia="Arial" w:hAnsi="Arial"/>
                <w:sz w:val="13"/>
                <w:szCs w:val="13"/>
                <w:color w:val="auto"/>
              </w:rPr>
              <w:t>t</w:t>
            </w:r>
          </w:p>
        </w:tc>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option in noncontrolling interest shares</w:t>
            </w:r>
          </w:p>
        </w:tc>
        <w:tc>
          <w:tcPr>
            <w:tcW w:w="35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(38,482)</w:t>
            </w:r>
          </w:p>
        </w:tc>
      </w:tr>
      <w:tr>
        <w:trPr>
          <w:trHeight w:val="169"/>
        </w:trPr>
        <w:tc>
          <w:tcPr>
            <w:tcW w:w="6440" w:type="dxa"/>
            <w:vAlign w:val="bottom"/>
            <w:gridSpan w:val="2"/>
          </w:tcPr>
          <w:p>
            <w:pPr>
              <w:spacing w:after="0"/>
              <w:rPr>
                <w:sz w:val="20"/>
                <w:szCs w:val="20"/>
                <w:color w:val="auto"/>
              </w:rPr>
            </w:pPr>
            <w:r>
              <w:rPr>
                <w:rFonts w:ascii="Arial" w:cs="Arial" w:eastAsia="Arial" w:hAnsi="Arial"/>
                <w:sz w:val="13"/>
                <w:szCs w:val="13"/>
                <w:color w:val="auto"/>
              </w:rPr>
              <w:t>tained earnings</w:t>
            </w:r>
          </w:p>
        </w:tc>
        <w:tc>
          <w:tcPr>
            <w:tcW w:w="3540" w:type="dxa"/>
            <w:vAlign w:val="bottom"/>
          </w:tcPr>
          <w:p>
            <w:pPr>
              <w:jc w:val="right"/>
              <w:ind w:right="316"/>
              <w:spacing w:after="0"/>
              <w:rPr>
                <w:sz w:val="20"/>
                <w:szCs w:val="20"/>
                <w:color w:val="auto"/>
              </w:rPr>
            </w:pPr>
            <w:r>
              <w:rPr>
                <w:rFonts w:ascii="Arial" w:cs="Arial" w:eastAsia="Arial" w:hAnsi="Arial"/>
                <w:sz w:val="13"/>
                <w:szCs w:val="13"/>
                <w:b w:val="1"/>
                <w:bCs w:val="1"/>
                <w:color w:val="auto"/>
              </w:rPr>
              <w:t>1,389,982</w:t>
            </w:r>
          </w:p>
        </w:tc>
        <w:tc>
          <w:tcPr>
            <w:tcW w:w="1120" w:type="dxa"/>
            <w:vAlign w:val="bottom"/>
          </w:tcPr>
          <w:p>
            <w:pPr>
              <w:jc w:val="right"/>
              <w:spacing w:after="0"/>
              <w:rPr>
                <w:sz w:val="20"/>
                <w:szCs w:val="20"/>
                <w:color w:val="auto"/>
              </w:rPr>
            </w:pPr>
            <w:r>
              <w:rPr>
                <w:rFonts w:ascii="Arial" w:cs="Arial" w:eastAsia="Arial" w:hAnsi="Arial"/>
                <w:sz w:val="13"/>
                <w:szCs w:val="13"/>
                <w:color w:val="auto"/>
              </w:rPr>
              <w:t>1,220,871</w:t>
            </w:r>
          </w:p>
        </w:tc>
      </w:tr>
      <w:tr>
        <w:trPr>
          <w:trHeight w:val="20"/>
        </w:trPr>
        <w:tc>
          <w:tcPr>
            <w:tcW w:w="80" w:type="dxa"/>
            <w:vAlign w:val="bottom"/>
          </w:tcPr>
          <w:p>
            <w:pPr>
              <w:spacing w:after="0" w:line="20" w:lineRule="exact"/>
              <w:rPr>
                <w:sz w:val="1"/>
                <w:szCs w:val="1"/>
                <w:color w:val="auto"/>
              </w:rPr>
            </w:pPr>
          </w:p>
        </w:tc>
        <w:tc>
          <w:tcPr>
            <w:tcW w:w="636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160"/>
        </w:trPr>
        <w:tc>
          <w:tcPr>
            <w:tcW w:w="6440" w:type="dxa"/>
            <w:vAlign w:val="bottom"/>
            <w:gridSpan w:val="2"/>
          </w:tcPr>
          <w:p>
            <w:pPr>
              <w:spacing w:after="0"/>
              <w:rPr>
                <w:sz w:val="20"/>
                <w:szCs w:val="20"/>
                <w:color w:val="auto"/>
              </w:rPr>
            </w:pPr>
            <w:r>
              <w:rPr>
                <w:rFonts w:ascii="Arial" w:cs="Arial" w:eastAsia="Arial" w:hAnsi="Arial"/>
                <w:sz w:val="13"/>
                <w:szCs w:val="13"/>
                <w:color w:val="auto"/>
              </w:rPr>
              <w:t>btotal</w:t>
            </w:r>
          </w:p>
        </w:tc>
        <w:tc>
          <w:tcPr>
            <w:tcW w:w="3540" w:type="dxa"/>
            <w:vAlign w:val="bottom"/>
          </w:tcPr>
          <w:p>
            <w:pPr>
              <w:jc w:val="right"/>
              <w:ind w:right="316"/>
              <w:spacing w:after="0"/>
              <w:rPr>
                <w:sz w:val="20"/>
                <w:szCs w:val="20"/>
                <w:color w:val="auto"/>
              </w:rPr>
            </w:pPr>
            <w:r>
              <w:rPr>
                <w:rFonts w:ascii="Arial" w:cs="Arial" w:eastAsia="Arial" w:hAnsi="Arial"/>
                <w:sz w:val="13"/>
                <w:szCs w:val="13"/>
                <w:b w:val="1"/>
                <w:bCs w:val="1"/>
                <w:color w:val="auto"/>
              </w:rPr>
              <w:t>1,557,685</w:t>
            </w:r>
          </w:p>
        </w:tc>
        <w:tc>
          <w:tcPr>
            <w:tcW w:w="1120" w:type="dxa"/>
            <w:vAlign w:val="bottom"/>
          </w:tcPr>
          <w:p>
            <w:pPr>
              <w:jc w:val="right"/>
              <w:spacing w:after="0"/>
              <w:rPr>
                <w:sz w:val="20"/>
                <w:szCs w:val="20"/>
                <w:color w:val="auto"/>
              </w:rPr>
            </w:pPr>
            <w:r>
              <w:rPr>
                <w:rFonts w:ascii="Arial" w:cs="Arial" w:eastAsia="Arial" w:hAnsi="Arial"/>
                <w:sz w:val="13"/>
                <w:szCs w:val="13"/>
                <w:color w:val="auto"/>
              </w:rPr>
              <w:t>1,297,284</w:t>
            </w:r>
          </w:p>
        </w:tc>
      </w:tr>
      <w:tr>
        <w:trPr>
          <w:trHeight w:val="168"/>
        </w:trPr>
        <w:tc>
          <w:tcPr>
            <w:tcW w:w="6440" w:type="dxa"/>
            <w:vAlign w:val="bottom"/>
            <w:gridSpan w:val="2"/>
          </w:tcPr>
          <w:p>
            <w:pPr>
              <w:spacing w:after="0"/>
              <w:rPr>
                <w:sz w:val="20"/>
                <w:szCs w:val="20"/>
                <w:color w:val="auto"/>
              </w:rPr>
            </w:pPr>
            <w:r>
              <w:rPr>
                <w:rFonts w:ascii="Arial" w:cs="Arial" w:eastAsia="Arial" w:hAnsi="Arial"/>
                <w:sz w:val="13"/>
                <w:szCs w:val="13"/>
                <w:color w:val="auto"/>
              </w:rPr>
              <w:t>ncontrolling interest</w:t>
            </w:r>
          </w:p>
        </w:tc>
        <w:tc>
          <w:tcPr>
            <w:tcW w:w="354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34,462</w:t>
            </w:r>
          </w:p>
        </w:tc>
      </w:tr>
      <w:tr>
        <w:trPr>
          <w:trHeight w:val="20"/>
        </w:trPr>
        <w:tc>
          <w:tcPr>
            <w:tcW w:w="80" w:type="dxa"/>
            <w:vAlign w:val="bottom"/>
          </w:tcPr>
          <w:p>
            <w:pPr>
              <w:spacing w:after="0" w:line="20" w:lineRule="exact"/>
              <w:rPr>
                <w:sz w:val="1"/>
                <w:szCs w:val="1"/>
                <w:color w:val="auto"/>
              </w:rPr>
            </w:pPr>
          </w:p>
        </w:tc>
        <w:tc>
          <w:tcPr>
            <w:tcW w:w="636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162"/>
        </w:trPr>
        <w:tc>
          <w:tcPr>
            <w:tcW w:w="6440" w:type="dxa"/>
            <w:vAlign w:val="bottom"/>
            <w:gridSpan w:val="2"/>
          </w:tcPr>
          <w:p>
            <w:pPr>
              <w:ind w:left="20"/>
              <w:spacing w:after="0"/>
              <w:rPr>
                <w:sz w:val="20"/>
                <w:szCs w:val="20"/>
                <w:color w:val="auto"/>
              </w:rPr>
            </w:pPr>
            <w:r>
              <w:rPr>
                <w:rFonts w:ascii="Arial" w:cs="Arial" w:eastAsia="Arial" w:hAnsi="Arial"/>
                <w:sz w:val="13"/>
                <w:szCs w:val="13"/>
                <w:color w:val="auto"/>
              </w:rPr>
              <w:t>al</w:t>
            </w:r>
          </w:p>
        </w:tc>
        <w:tc>
          <w:tcPr>
            <w:tcW w:w="3540" w:type="dxa"/>
            <w:vAlign w:val="bottom"/>
          </w:tcPr>
          <w:p>
            <w:pPr>
              <w:jc w:val="right"/>
              <w:ind w:right="316"/>
              <w:spacing w:after="0"/>
              <w:rPr>
                <w:sz w:val="20"/>
                <w:szCs w:val="20"/>
                <w:color w:val="auto"/>
              </w:rPr>
            </w:pPr>
            <w:r>
              <w:rPr>
                <w:rFonts w:ascii="Arial" w:cs="Arial" w:eastAsia="Arial" w:hAnsi="Arial"/>
                <w:sz w:val="13"/>
                <w:szCs w:val="13"/>
                <w:b w:val="1"/>
                <w:bCs w:val="1"/>
                <w:color w:val="auto"/>
              </w:rPr>
              <w:t>1,557,685</w:t>
            </w:r>
          </w:p>
        </w:tc>
        <w:tc>
          <w:tcPr>
            <w:tcW w:w="1120" w:type="dxa"/>
            <w:vAlign w:val="bottom"/>
          </w:tcPr>
          <w:p>
            <w:pPr>
              <w:jc w:val="right"/>
              <w:spacing w:after="0"/>
              <w:rPr>
                <w:sz w:val="20"/>
                <w:szCs w:val="20"/>
                <w:color w:val="auto"/>
              </w:rPr>
            </w:pPr>
            <w:r>
              <w:rPr>
                <w:rFonts w:ascii="Arial" w:cs="Arial" w:eastAsia="Arial" w:hAnsi="Arial"/>
                <w:sz w:val="13"/>
                <w:szCs w:val="13"/>
                <w:color w:val="auto"/>
              </w:rPr>
              <w:t>1,331,746</w:t>
            </w:r>
          </w:p>
        </w:tc>
      </w:tr>
      <w:tr>
        <w:trPr>
          <w:trHeight w:val="21"/>
        </w:trPr>
        <w:tc>
          <w:tcPr>
            <w:tcW w:w="80" w:type="dxa"/>
            <w:vAlign w:val="bottom"/>
          </w:tcPr>
          <w:p>
            <w:pPr>
              <w:spacing w:after="0" w:line="20" w:lineRule="exact"/>
              <w:rPr>
                <w:sz w:val="1"/>
                <w:szCs w:val="1"/>
                <w:color w:val="auto"/>
              </w:rPr>
            </w:pPr>
          </w:p>
        </w:tc>
        <w:tc>
          <w:tcPr>
            <w:tcW w:w="636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-996315</wp:posOffset>
            </wp:positionV>
            <wp:extent cx="7000240" cy="107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-349885</wp:posOffset>
            </wp:positionV>
            <wp:extent cx="7000240"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0240" cy="11430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-127635</wp:posOffset>
            </wp:positionV>
            <wp:extent cx="7000240" cy="121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0240" cy="121285"/>
                    </a:xfrm>
                    <a:prstGeom prst="rect">
                      <a:avLst/>
                    </a:prstGeom>
                    <a:noFill/>
                  </pic:spPr>
                </pic:pic>
              </a:graphicData>
            </a:graphic>
          </wp:anchor>
        </w:drawing>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Share-based payment reserve</w:t>
      </w:r>
    </w:p>
    <w:p>
      <w:pPr>
        <w:spacing w:after="0" w:line="11" w:lineRule="exact"/>
        <w:rPr>
          <w:sz w:val="20"/>
          <w:szCs w:val="20"/>
          <w:color w:val="auto"/>
        </w:rPr>
      </w:pPr>
    </w:p>
    <w:p>
      <w:pPr>
        <w:jc w:val="both"/>
        <w:ind w:left="80"/>
        <w:spacing w:after="0" w:line="239" w:lineRule="auto"/>
        <w:rPr>
          <w:sz w:val="20"/>
          <w:szCs w:val="20"/>
          <w:color w:val="auto"/>
        </w:rPr>
      </w:pPr>
      <w:r>
        <w:rPr>
          <w:rFonts w:ascii="Arial" w:cs="Arial" w:eastAsia="Arial" w:hAnsi="Arial"/>
          <w:sz w:val="13"/>
          <w:szCs w:val="13"/>
          <w:color w:val="auto"/>
        </w:rPr>
        <w:t>The share-based payment reserve is used to account for share-based payments. The fair value of share-based payments is expensed to the Consolidated Statement of Profit and Loss over the period the related services are received, with a corresponding increase in equity. At 31 December 2020 the Group has recognised a cumulative charge for share-based payments of $288.6 million net of deferred tax (2019: $263.5 million). The Group has also recognised a cumulative credit of $51.5 million (2019: $47.7 million) in reserves for the current and deferred tax effects of the tax benefits relating to the exercise of employee share options in excess of related cumulative compensation expense. The Group has reclassified a cumulative credit of $160.5 million (2019: $137.0 million) to retained earnings in respect of exercised and expired share-based awards.</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Other undenominated capital</w:t>
      </w:r>
    </w:p>
    <w:p>
      <w:pPr>
        <w:spacing w:after="0" w:line="11" w:lineRule="exact"/>
        <w:rPr>
          <w:sz w:val="20"/>
          <w:szCs w:val="20"/>
          <w:color w:val="auto"/>
        </w:rPr>
      </w:pPr>
    </w:p>
    <w:p>
      <w:pPr>
        <w:jc w:val="both"/>
        <w:ind w:left="80"/>
        <w:spacing w:after="0" w:line="244" w:lineRule="auto"/>
        <w:rPr>
          <w:sz w:val="20"/>
          <w:szCs w:val="20"/>
          <w:color w:val="auto"/>
        </w:rPr>
      </w:pPr>
      <w:r>
        <w:rPr>
          <w:rFonts w:ascii="Arial" w:cs="Arial" w:eastAsia="Arial" w:hAnsi="Arial"/>
          <w:sz w:val="13"/>
          <w:szCs w:val="13"/>
          <w:color w:val="auto"/>
        </w:rPr>
        <w:t>Other undenominated capital comprises the nominal value of shares repurchased and cancelled by the Company and transferred from share capital to other undenominated capital as required under Irish Company Law. During the year ended 31 December 2020, 1,235,218 (31 December 2019: 1,035,100) ordinary shares were repurchased and cancelled by the Group.</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360"/>
          </w:cols>
          <w:pgMar w:left="220" w:top="696" w:right="3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71" w:lineRule="exact"/>
        <w:rPr>
          <w:sz w:val="20"/>
          <w:szCs w:val="20"/>
          <w:color w:val="auto"/>
        </w:rPr>
      </w:pPr>
    </w:p>
    <w:p>
      <w:pPr>
        <w:ind w:left="320" w:hanging="315"/>
        <w:spacing w:after="0"/>
        <w:tabs>
          <w:tab w:leader="none" w:pos="320"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Capital and reserves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reserves</w:t>
      </w:r>
    </w:p>
    <w:p>
      <w:pPr>
        <w:spacing w:after="0" w:line="1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Group has recognised a non-distributable reserve of $6.0 million in accordance with agreements made between the Group and Enterprise Ireland, an Irish government agency. The requirement for these non-distributable reserves will expire between the period 2022 and 2025. In 2005 the Group also recognised a capital contribution of $6.1 million being the fair value of outstanding ordinary shares transferred to Mr Peter Gray, formerly Vice Chair of the Board of Directors and formerly Chief Executive Officer, by founding Directors, Dr. John Climax and Dr. Ronan Lambe.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5 October 2015, the Company entered into an interest rate hedge in respect of the planned issuance of the Senior Notes in December 2015. The interest rate hedge matured on 17 November 2015 when the interest rate on the Senior Notes was fixed. The cash proceeds ($4.6 million), representing the realised gain on the interest rate hedge was received on maturity in November 2015 and is recorded in Other reserves. The realised gain has been amortised to the Consolidated Statement of Profit and Loss, net against interest payable, over the period of the Senior Notes. As of 31 December 2020, $4.6 million was amortised to the Consolidated Statement of Profit and Loss (2019: $3.7 million).</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June 2020, the Company entered into an interest rate hedge in respect of the planned issuance of the Senior Notes in December 2020. The interest rate hedge matured on 9 July 2020 when the interest rate on the Senior Notes was fixed. The cash payment ($0.9 million), representing the realised loss on the interest rate hedge was paid on maturity in July 2020 and is recorded in Other Reserves. The realised loss will be amortised to the Consolidated Statement of Profit and Loss, net against interest payable, over the period of the Senior Notes. As of 31 December 2020, $0.02 million was amortised to the Consolidated Statement of Profit and Loss.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Currency reserve</w:t>
      </w:r>
    </w:p>
    <w:p>
      <w:pPr>
        <w:spacing w:after="0" w:line="11"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currency reserve comprises all foreign exchange differences arising from the translation of the financial statements of foreign currency denominated operations of the Group since 1 June 2004, the date of transition to IFRS. As at 31 December 2020, this amounted to a cumulative loss of $15.6 million (2019: loss of $63.7 million). In addition, the Group has recognised a cumulative loss for the currency impact of long-term funding amounting to $5.9 million at 31 December 2020 (2019: loss of $4.4 million) and a cumulative charge of $3.5 million (2019: charge $3.4 million) for the related tax on the currency impact on long-term funding.</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Current asset investments – fair value reserve</w:t>
      </w:r>
    </w:p>
    <w:p>
      <w:pPr>
        <w:spacing w:after="0" w:line="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current asset investment – fair value reserve comprises unrealised fair value gains and losses on current asset investments. The Group has recognised a cumulative return of $Nil as at 31 December 2020 (2019: gain of $0.2 million). Unrealised gains and losses are reclassified to the Consolidated Statement of Profit and Loss on disposal or impairment of the related asset.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premium</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Share premium is the difference between the nominal value of shares and the value of consideration for shares issued.</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Noncontrolling interest</w:t>
      </w: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ICON acquired a majority ownership interest in MeDiNova during 2019. Included in the purchase agreement are put and call option arrangements with the noncontrolling interest holders that required (put option) or enabled (call option) ICON to purchase the remaining minority ownership at a future date. The noncontrolling interest was recorded at its fair value at the acquisition date in equity. The noncontrolling interest was recognised within equity until the noncontrolling interest purchase option was exercised on 9 March 2020. Up until this date, the carrying amount of noncontrolling interest changes due to allocations of profit or loss, allocations of changes in other comprehensive income and dividends declared for the reporting period. On 9 March 2020, ICON took 100% ownership of the share capital of MeDiNova and the noncontrolling interest was derecognised. Up until the outstanding shares in MeDiNova were acquired, the Company allocated a share of net income to the noncontrolling interest holders based on percentage ownership. In the year ended 31 December 2020, the company allocated $0.6 million of profit to the noncontrolling interest holders.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Put option in noncontrolling interest shares</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financial liability for the noncontrolling interest put option was recognised at the present value of the amount payable upon exercise of the option. On initial recognition, the corresponding debit relating to the financial liability is made to equity attributable to the Company within the category 'put option in noncontrolling interest shares'. During the year ended 31 December 2019, upon initial recognition, the company recognised a financial liability of $38.5 million resulting in an equivalent balance within this equity account. Subsequent changes to the carrying amount of the liability are recorded in the Consolidated Statement of Profit and Loss. ICON exercised the option to acquire the outstanding shares on 9 March 2020. ICON settled the liability to acquire the outstanding shares on 17 July 2020 for $43.9 million.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696"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71" w:lineRule="exact"/>
        <w:rPr>
          <w:sz w:val="20"/>
          <w:szCs w:val="20"/>
          <w:color w:val="auto"/>
        </w:rPr>
      </w:pPr>
    </w:p>
    <w:p>
      <w:pPr>
        <w:ind w:left="320" w:hanging="315"/>
        <w:spacing w:after="0"/>
        <w:tabs>
          <w:tab w:leader="none" w:pos="320"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Capital and reserves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Retained earnings</w:t>
      </w: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 xml:space="preserve">In addition to the profit for the financial year the Group has also recognised the re-measurement of the defined benefit pension scheme in this reserve. In 2020, the Group recognised a re-measurement on the defined benefit pension scheme of $(3.7) million (31 December 2019: a re-measurement of $(2.4) million). In 2020, the Group recognised share issue costs of $(0.1) million in this reserve (2019: $(0.1) million). The Group has recognised a credit of $23.5 million (2019: credit of $31.3 million) in respect of exercised and expired share-based awards that have been transferred from the share-based payment reserve. During the year, the Group also participated in a share buyback programme. During the year ended 31 December 2020, the Group redeemed a total of 1,235,218 ordinary shares for total consideration of $175.0 million (2019: 1,035,100 ordinary shares were redeemed by the Group for a total consideration of $146.9 million), see </w:t>
      </w:r>
      <w:r>
        <w:rPr>
          <w:rFonts w:ascii="Arial" w:cs="Arial" w:eastAsia="Arial" w:hAnsi="Arial"/>
          <w:sz w:val="12"/>
          <w:szCs w:val="12"/>
          <w:i w:val="1"/>
          <w:iCs w:val="1"/>
          <w:color w:val="auto"/>
        </w:rPr>
        <w:t>note 24 Share Capital</w:t>
      </w:r>
      <w:r>
        <w:rPr>
          <w:rFonts w:ascii="Arial" w:cs="Arial" w:eastAsia="Arial" w:hAnsi="Arial"/>
          <w:sz w:val="12"/>
          <w:szCs w:val="12"/>
          <w:color w:val="auto"/>
        </w:rPr>
        <w:t xml:space="preserve"> for further detail.</w:t>
      </w:r>
    </w:p>
    <w:p>
      <w:pPr>
        <w:spacing w:after="0" w:line="159" w:lineRule="exact"/>
        <w:rPr>
          <w:sz w:val="20"/>
          <w:szCs w:val="20"/>
          <w:color w:val="auto"/>
        </w:rPr>
      </w:pPr>
    </w:p>
    <w:p>
      <w:pPr>
        <w:ind w:left="320" w:hanging="315"/>
        <w:spacing w:after="0"/>
        <w:tabs>
          <w:tab w:leader="none" w:pos="320"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29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5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Credit risk arises from cash and cash equivalents, contractual cash flows of debt investments carried at fair value through other comprehensive income and at fair value through profit or loss, favourable derivative financial instruments and deposits with banks and financial institutions, as well as credit exposures to customers, including outstanding accounts receivable and unbilled receivables.</w:t>
      </w:r>
    </w:p>
    <w:p>
      <w:pPr>
        <w:spacing w:after="0" w:line="8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Credit risk is managed on a group basis. For banks and financial institutions, independently rated parties with a minimum rating of BBB+ for overnight maturities and a minimum of A- for any bank deposits greater than overnight and up to three months.</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Current asset investments (recorded at fair value through other comprehensive income) comprise investments with maturities of greater than three months. The minimum ratings required for investment are as follows: bank deposits (A-), money market funds (AAA), liquidity funds (AAA) and fixed rate corporate bonds or floating rate notes (A- non-financial, AA- financial).</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Group’s exposure to credit risk arises predominately in respect of the credit risk assessment of customers. Customer credit risk is managed through application of credit procedures, in particular through risk assessment of new customers, through assessment of credit quality, taking into account its financial position, past experience and other factors. The compliance with credit terms is regularly monitored by line management.</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Contract terms may range from several weeks to several years depending on the nature of the work to be performed. Contracts are generally fixed price or unit based. In most cases, a portion of the contract fee is paid at the time the study or trial is started. The balance of the contract fee is generally billable in instalments over the study or trial duration and may be based on the delivery of certain performance targets or "milestones" or, based on units delivered, or on a fixed monthly payment schedule such as patient enrolment or database delivery.</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Where customers request changes in the scope of a trial or in the services to be provided, a change order or amendment is issued which may result either in an increase or decrease in the contract value.</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The Group also contracts on a "fee-for-service" or "time and materials" basis.</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During the course of a study, the Group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80"/>
          </w:cols>
          <w:pgMar w:left="300" w:top="696"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rPr>
          <w:sz w:val="20"/>
          <w:szCs w:val="20"/>
          <w:color w:val="auto"/>
        </w:rPr>
      </w:pPr>
      <w:r>
        <w:rPr>
          <w:rFonts w:ascii="Arial" w:cs="Arial" w:eastAsia="Arial" w:hAnsi="Arial"/>
          <w:sz w:val="13"/>
          <w:szCs w:val="13"/>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de-emphasise a particular trial, inadequate patient enrolment or investigator recruitment.</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Group’s top five customers accounted for approximately 39.1% and 37.6% of revenue during the years ended 31 December 2020 and 31 December 2019 respectively. During the year ended 31 December 2020, 12.1% of the Group’s revenues were derived from its top customer (2019: 12.5%). No other customer contributed more than 10% of revenues during the year ended 31 December 2020. In 2019, the second largest customer accounted for 10.2% of revenue. The addition of new customer accounts, particularly large and mid-tier pharma customers and biotech customers have resulted in a reduction in this concentration of revenues from our top five customers.</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maximum exposure of credit risk pertaining to customers is the carrying value of accounts receivable and unbilled revenue balances. The gross value of accounts receivable and unbilled revenue balances, by geographic region, at 31 December 2020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Borders>
              <w:bottom w:val="single" w:sz="8" w:color="auto"/>
            </w:tcBorders>
            <w:shd w:val="clear" w:color="auto" w:fill="CCEEFF"/>
          </w:tcPr>
          <w:p>
            <w:pPr>
              <w:spacing w:after="0"/>
              <w:rPr>
                <w:sz w:val="14"/>
                <w:szCs w:val="14"/>
                <w:color w:val="auto"/>
              </w:rPr>
            </w:pP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Accounts Receivable</w:t>
            </w:r>
          </w:p>
        </w:tc>
        <w:tc>
          <w:tcPr>
            <w:tcW w:w="114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Unbilled Revenue</w:t>
            </w:r>
          </w:p>
        </w:tc>
        <w:tc>
          <w:tcPr>
            <w:tcW w:w="860" w:type="dxa"/>
            <w:vAlign w:val="bottom"/>
            <w:tcBorders>
              <w:bottom w:val="single" w:sz="8" w:color="auto"/>
            </w:tcBorders>
            <w:shd w:val="clear" w:color="auto" w:fill="CCEEFF"/>
          </w:tcPr>
          <w:p>
            <w:pPr>
              <w:spacing w:after="0"/>
              <w:rPr>
                <w:sz w:val="14"/>
                <w:szCs w:val="14"/>
                <w:color w:val="auto"/>
              </w:rPr>
            </w:pPr>
          </w:p>
        </w:tc>
      </w:tr>
      <w:tr>
        <w:trPr>
          <w:trHeight w:val="118"/>
        </w:trPr>
        <w:tc>
          <w:tcPr>
            <w:tcW w:w="4100" w:type="dxa"/>
            <w:vAlign w:val="bottom"/>
          </w:tcPr>
          <w:p>
            <w:pPr>
              <w:spacing w:after="0"/>
              <w:rPr>
                <w:sz w:val="10"/>
                <w:szCs w:val="10"/>
                <w:color w:val="auto"/>
              </w:rPr>
            </w:pPr>
          </w:p>
        </w:tc>
        <w:tc>
          <w:tcPr>
            <w:tcW w:w="3400" w:type="dxa"/>
            <w:vAlign w:val="bottom"/>
          </w:tcPr>
          <w:p>
            <w:pPr>
              <w:jc w:val="right"/>
              <w:ind w:right="636"/>
              <w:spacing w:after="0" w:line="118" w:lineRule="exact"/>
              <w:rPr>
                <w:sz w:val="20"/>
                <w:szCs w:val="20"/>
                <w:color w:val="auto"/>
              </w:rPr>
            </w:pPr>
            <w:r>
              <w:rPr>
                <w:rFonts w:ascii="Arial" w:cs="Arial" w:eastAsia="Arial" w:hAnsi="Arial"/>
                <w:sz w:val="13"/>
                <w:szCs w:val="13"/>
                <w:b w:val="1"/>
                <w:bCs w:val="1"/>
                <w:color w:val="auto"/>
              </w:rPr>
              <w:t>31 December</w:t>
            </w:r>
          </w:p>
        </w:tc>
        <w:tc>
          <w:tcPr>
            <w:tcW w:w="1140" w:type="dxa"/>
            <w:vAlign w:val="bottom"/>
          </w:tcPr>
          <w:p>
            <w:pPr>
              <w:jc w:val="right"/>
              <w:ind w:right="296"/>
              <w:spacing w:after="0" w:line="118" w:lineRule="exact"/>
              <w:rPr>
                <w:sz w:val="20"/>
                <w:szCs w:val="20"/>
                <w:color w:val="auto"/>
              </w:rPr>
            </w:pPr>
            <w:r>
              <w:rPr>
                <w:rFonts w:ascii="Arial" w:cs="Arial" w:eastAsia="Arial" w:hAnsi="Arial"/>
                <w:sz w:val="13"/>
                <w:szCs w:val="13"/>
                <w:color w:val="auto"/>
                <w:w w:val="97"/>
              </w:rPr>
              <w:t>31 December</w:t>
            </w:r>
          </w:p>
        </w:tc>
        <w:tc>
          <w:tcPr>
            <w:tcW w:w="17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69"/>
        </w:trPr>
        <w:tc>
          <w:tcPr>
            <w:tcW w:w="41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2019</w:t>
            </w:r>
          </w:p>
        </w:tc>
        <w:tc>
          <w:tcPr>
            <w:tcW w:w="17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r>
      <w:tr>
        <w:trPr>
          <w:trHeight w:val="161"/>
        </w:trPr>
        <w:tc>
          <w:tcPr>
            <w:tcW w:w="4100" w:type="dxa"/>
            <w:vAlign w:val="bottom"/>
            <w:shd w:val="clear" w:color="auto" w:fill="CCEEFF"/>
          </w:tcPr>
          <w:p>
            <w:pPr>
              <w:spacing w:after="0"/>
              <w:rPr>
                <w:sz w:val="13"/>
                <w:szCs w:val="13"/>
                <w:color w:val="auto"/>
              </w:rPr>
            </w:pPr>
          </w:p>
        </w:tc>
        <w:tc>
          <w:tcPr>
            <w:tcW w:w="3400" w:type="dxa"/>
            <w:vAlign w:val="bottom"/>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$’000</w:t>
            </w:r>
          </w:p>
        </w:tc>
        <w:tc>
          <w:tcPr>
            <w:tcW w:w="178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$’000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70"/>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340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510,005</w:t>
            </w:r>
          </w:p>
        </w:tc>
        <w:tc>
          <w:tcPr>
            <w:tcW w:w="11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466,082</w:t>
            </w:r>
          </w:p>
        </w:tc>
        <w:tc>
          <w:tcPr>
            <w:tcW w:w="1780" w:type="dxa"/>
            <w:vAlign w:val="bottom"/>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290,968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325,260</w:t>
            </w:r>
          </w:p>
        </w:tc>
      </w:tr>
      <w:tr>
        <w:trPr>
          <w:trHeight w:val="169"/>
        </w:trPr>
        <w:tc>
          <w:tcPr>
            <w:tcW w:w="41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3400" w:type="dxa"/>
            <w:vAlign w:val="bottom"/>
          </w:tcPr>
          <w:p>
            <w:pPr>
              <w:jc w:val="right"/>
              <w:ind w:right="676"/>
              <w:spacing w:after="0"/>
              <w:rPr>
                <w:sz w:val="20"/>
                <w:szCs w:val="20"/>
                <w:color w:val="auto"/>
              </w:rPr>
            </w:pPr>
            <w:r>
              <w:rPr>
                <w:rFonts w:ascii="Arial" w:cs="Arial" w:eastAsia="Arial" w:hAnsi="Arial"/>
                <w:sz w:val="13"/>
                <w:szCs w:val="13"/>
                <w:b w:val="1"/>
                <w:bCs w:val="1"/>
                <w:color w:val="auto"/>
              </w:rPr>
              <w:t>195,691</w:t>
            </w:r>
          </w:p>
        </w:tc>
        <w:tc>
          <w:tcPr>
            <w:tcW w:w="1140" w:type="dxa"/>
            <w:vAlign w:val="bottom"/>
          </w:tcPr>
          <w:p>
            <w:pPr>
              <w:jc w:val="right"/>
              <w:ind w:right="336"/>
              <w:spacing w:after="0"/>
              <w:rPr>
                <w:sz w:val="20"/>
                <w:szCs w:val="20"/>
                <w:color w:val="auto"/>
              </w:rPr>
            </w:pPr>
            <w:r>
              <w:rPr>
                <w:rFonts w:ascii="Arial" w:cs="Arial" w:eastAsia="Arial" w:hAnsi="Arial"/>
                <w:sz w:val="13"/>
                <w:szCs w:val="13"/>
                <w:color w:val="auto"/>
              </w:rPr>
              <w:t>59,173</w:t>
            </w:r>
          </w:p>
        </w:tc>
        <w:tc>
          <w:tcPr>
            <w:tcW w:w="1780" w:type="dxa"/>
            <w:vAlign w:val="bottom"/>
          </w:tcPr>
          <w:p>
            <w:pPr>
              <w:jc w:val="right"/>
              <w:ind w:right="616"/>
              <w:spacing w:after="0"/>
              <w:rPr>
                <w:sz w:val="20"/>
                <w:szCs w:val="20"/>
                <w:color w:val="auto"/>
              </w:rPr>
            </w:pPr>
            <w:r>
              <w:rPr>
                <w:rFonts w:ascii="Arial" w:cs="Arial" w:eastAsia="Arial" w:hAnsi="Arial"/>
                <w:sz w:val="13"/>
                <w:szCs w:val="13"/>
                <w:b w:val="1"/>
                <w:bCs w:val="1"/>
                <w:color w:val="auto"/>
              </w:rPr>
              <w:t>106,448</w:t>
            </w:r>
          </w:p>
        </w:tc>
        <w:tc>
          <w:tcPr>
            <w:tcW w:w="860" w:type="dxa"/>
            <w:vAlign w:val="bottom"/>
          </w:tcPr>
          <w:p>
            <w:pPr>
              <w:jc w:val="right"/>
              <w:spacing w:after="0"/>
              <w:rPr>
                <w:sz w:val="20"/>
                <w:szCs w:val="20"/>
                <w:color w:val="auto"/>
              </w:rPr>
            </w:pPr>
            <w:r>
              <w:rPr>
                <w:rFonts w:ascii="Arial" w:cs="Arial" w:eastAsia="Arial" w:hAnsi="Arial"/>
                <w:sz w:val="13"/>
                <w:szCs w:val="13"/>
                <w:color w:val="auto"/>
              </w:rPr>
              <w:t>84,827</w:t>
            </w:r>
          </w:p>
        </w:tc>
      </w:tr>
      <w:tr>
        <w:trPr>
          <w:trHeight w:val="17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340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16,724</w:t>
            </w:r>
          </w:p>
        </w:tc>
        <w:tc>
          <w:tcPr>
            <w:tcW w:w="1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9,833</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31,268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12,682</w:t>
            </w:r>
          </w:p>
        </w:tc>
      </w:tr>
      <w:tr>
        <w:trPr>
          <w:trHeight w:val="160"/>
        </w:trPr>
        <w:tc>
          <w:tcPr>
            <w:tcW w:w="4100" w:type="dxa"/>
            <w:vAlign w:val="bottom"/>
          </w:tcPr>
          <w:p>
            <w:pPr>
              <w:ind w:left="20"/>
              <w:spacing w:after="0"/>
              <w:rPr>
                <w:sz w:val="20"/>
                <w:szCs w:val="20"/>
                <w:color w:val="auto"/>
              </w:rPr>
            </w:pPr>
            <w:r>
              <w:rPr>
                <w:rFonts w:ascii="Arial" w:cs="Arial" w:eastAsia="Arial" w:hAnsi="Arial"/>
                <w:sz w:val="13"/>
                <w:szCs w:val="13"/>
                <w:color w:val="auto"/>
              </w:rPr>
              <w:t>Gross balance</w:t>
            </w:r>
          </w:p>
        </w:tc>
        <w:tc>
          <w:tcPr>
            <w:tcW w:w="3400" w:type="dxa"/>
            <w:vAlign w:val="bottom"/>
          </w:tcPr>
          <w:p>
            <w:pPr>
              <w:jc w:val="right"/>
              <w:ind w:right="676"/>
              <w:spacing w:after="0"/>
              <w:rPr>
                <w:sz w:val="20"/>
                <w:szCs w:val="20"/>
                <w:color w:val="auto"/>
              </w:rPr>
            </w:pPr>
            <w:r>
              <w:rPr>
                <w:rFonts w:ascii="Arial" w:cs="Arial" w:eastAsia="Arial" w:hAnsi="Arial"/>
                <w:sz w:val="13"/>
                <w:szCs w:val="13"/>
                <w:b w:val="1"/>
                <w:bCs w:val="1"/>
                <w:color w:val="auto"/>
              </w:rPr>
              <w:t>722,420</w:t>
            </w:r>
          </w:p>
        </w:tc>
        <w:tc>
          <w:tcPr>
            <w:tcW w:w="1140" w:type="dxa"/>
            <w:vAlign w:val="bottom"/>
          </w:tcPr>
          <w:p>
            <w:pPr>
              <w:jc w:val="right"/>
              <w:ind w:right="336"/>
              <w:spacing w:after="0"/>
              <w:rPr>
                <w:sz w:val="20"/>
                <w:szCs w:val="20"/>
                <w:color w:val="auto"/>
              </w:rPr>
            </w:pPr>
            <w:r>
              <w:rPr>
                <w:rFonts w:ascii="Arial" w:cs="Arial" w:eastAsia="Arial" w:hAnsi="Arial"/>
                <w:sz w:val="13"/>
                <w:szCs w:val="13"/>
                <w:color w:val="auto"/>
              </w:rPr>
              <w:t>535,088</w:t>
            </w:r>
          </w:p>
        </w:tc>
        <w:tc>
          <w:tcPr>
            <w:tcW w:w="1780" w:type="dxa"/>
            <w:vAlign w:val="bottom"/>
          </w:tcPr>
          <w:p>
            <w:pPr>
              <w:jc w:val="right"/>
              <w:ind w:right="616"/>
              <w:spacing w:after="0"/>
              <w:rPr>
                <w:sz w:val="20"/>
                <w:szCs w:val="20"/>
                <w:color w:val="auto"/>
              </w:rPr>
            </w:pPr>
            <w:r>
              <w:rPr>
                <w:rFonts w:ascii="Arial" w:cs="Arial" w:eastAsia="Arial" w:hAnsi="Arial"/>
                <w:sz w:val="13"/>
                <w:szCs w:val="13"/>
                <w:b w:val="1"/>
                <w:bCs w:val="1"/>
                <w:color w:val="auto"/>
              </w:rPr>
              <w:t>428,684</w:t>
            </w:r>
          </w:p>
        </w:tc>
        <w:tc>
          <w:tcPr>
            <w:tcW w:w="860" w:type="dxa"/>
            <w:vAlign w:val="bottom"/>
          </w:tcPr>
          <w:p>
            <w:pPr>
              <w:jc w:val="right"/>
              <w:spacing w:after="0"/>
              <w:rPr>
                <w:sz w:val="20"/>
                <w:szCs w:val="20"/>
                <w:color w:val="auto"/>
              </w:rPr>
            </w:pPr>
            <w:r>
              <w:rPr>
                <w:rFonts w:ascii="Arial" w:cs="Arial" w:eastAsia="Arial" w:hAnsi="Arial"/>
                <w:sz w:val="13"/>
                <w:szCs w:val="13"/>
                <w:color w:val="auto"/>
              </w:rPr>
              <w:t>422,769</w:t>
            </w:r>
          </w:p>
        </w:tc>
      </w:tr>
      <w:tr>
        <w:trPr>
          <w:trHeight w:val="17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Allowance for for credit losses</w:t>
            </w:r>
          </w:p>
        </w:tc>
        <w:tc>
          <w:tcPr>
            <w:tcW w:w="340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(7,149)</w:t>
            </w:r>
          </w:p>
        </w:tc>
        <w:tc>
          <w:tcPr>
            <w:tcW w:w="11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(6,394)</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(986)</w:t>
            </w:r>
          </w:p>
        </w:tc>
      </w:tr>
      <w:tr>
        <w:trPr>
          <w:trHeight w:val="192"/>
        </w:trPr>
        <w:tc>
          <w:tcPr>
            <w:tcW w:w="41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1"/>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net of allowance for credit losses</w:t>
            </w:r>
          </w:p>
        </w:tc>
        <w:tc>
          <w:tcPr>
            <w:tcW w:w="340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715,271</w:t>
            </w:r>
          </w:p>
        </w:tc>
        <w:tc>
          <w:tcPr>
            <w:tcW w:w="1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528,694</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428,684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421,783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Group has four types of financial assets that are subject to the expected credit loss model:</w:t>
      </w:r>
    </w:p>
    <w:p>
      <w:pPr>
        <w:ind w:left="500" w:hanging="240"/>
        <w:spacing w:after="0"/>
        <w:tabs>
          <w:tab w:leader="none" w:pos="5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trade receivables (billed amounts) for services provided to customers</w:t>
      </w:r>
    </w:p>
    <w:p>
      <w:pPr>
        <w:ind w:left="500" w:hanging="240"/>
        <w:spacing w:after="0"/>
        <w:tabs>
          <w:tab w:leader="none" w:pos="5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unbilled receivables (contract assets) for services provided to customers</w:t>
      </w:r>
    </w:p>
    <w:p>
      <w:pPr>
        <w:ind w:left="500" w:hanging="240"/>
        <w:spacing w:after="0"/>
        <w:tabs>
          <w:tab w:leader="none" w:pos="5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cash and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Trade receivables and contract assets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Group applies the IFRS 9 simplified approach to measuring expected credit losses which uses a lifetime expected loss allowance for all trade receivables and contract assets.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To measure the expected credit losses, trade receivables and contract assets have been grouped based on shared credit risk characteristics and the days past due. The contract assets relate to unbilled work in progress and have substantially the same risk characteristics as the trade receivables for the same types of contracts. The Group has therefore concluded that the expected loss rates for trade receivables are a reasonable approximation for the loss rates for the contract assets.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The expected loss rates are based on the payment profiles of revenue over a period of 36 months before 31 December 2020. The historical loss rates are adjusted to reflect current and forward-looking information on macroeconomic factors affecting the ability of the customers to settle receivables. See </w:t>
      </w:r>
      <w:r>
        <w:rPr>
          <w:rFonts w:ascii="Arial" w:cs="Arial" w:eastAsia="Arial" w:hAnsi="Arial"/>
          <w:sz w:val="13"/>
          <w:szCs w:val="13"/>
          <w:i w:val="1"/>
          <w:iCs w:val="1"/>
          <w:color w:val="auto"/>
        </w:rPr>
        <w:t>note 16 - Accounts receivable, unbilled services (contract assets) and unearned revenue (contract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liabilities) </w:t>
      </w:r>
      <w:r>
        <w:rPr>
          <w:rFonts w:ascii="Arial" w:cs="Arial" w:eastAsia="Arial" w:hAnsi="Arial"/>
          <w:sz w:val="13"/>
          <w:szCs w:val="13"/>
          <w:color w:val="auto"/>
        </w:rPr>
        <w:t>for assessment of the allowance for credit losses for both trade receivables and contract assets.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Trade receivables and contract assets are written off when there is no reasonable expectation of recovery. Indicators that there is no reasonable expectation of recovery include, amongst others, the failure of a debtor to engage in a repayment plan with the group, and a failure to make contractual payments for a period of greater than 120 days past due. Impairment losses on trade receivables and contract assets are presented as net impairment losses within operating profit. Subsequent recoveries of amounts previously written off are credited against the same line item.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80"/>
          </w:cols>
          <w:pgMar w:left="300" w:top="696" w:right="3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 and capital resources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Group’s liquid and capital resources at 31 December 2020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shd w:val="clear" w:color="auto" w:fill="CCEEFF"/>
          </w:tcPr>
          <w:p>
            <w:pPr>
              <w:spacing w:after="0"/>
              <w:rPr>
                <w:sz w:val="13"/>
                <w:szCs w:val="13"/>
                <w:color w:val="auto"/>
              </w:rPr>
            </w:pPr>
          </w:p>
        </w:tc>
        <w:tc>
          <w:tcPr>
            <w:tcW w:w="46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540" w:type="dxa"/>
            <w:vAlign w:val="bottom"/>
            <w:tcBorders>
              <w:bottom w:val="single" w:sz="8" w:color="auto"/>
            </w:tcBorders>
            <w:shd w:val="clear" w:color="auto" w:fill="CCEEFF"/>
          </w:tcPr>
          <w:p>
            <w:pPr>
              <w:spacing w:after="0"/>
              <w:rPr>
                <w:sz w:val="14"/>
                <w:szCs w:val="14"/>
                <w:color w:val="auto"/>
              </w:rPr>
            </w:pPr>
          </w:p>
        </w:tc>
        <w:tc>
          <w:tcPr>
            <w:tcW w:w="46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540" w:type="dxa"/>
            <w:vAlign w:val="bottom"/>
          </w:tcPr>
          <w:p>
            <w:pPr>
              <w:spacing w:after="0"/>
              <w:rPr>
                <w:sz w:val="13"/>
                <w:szCs w:val="13"/>
                <w:color w:val="auto"/>
              </w:rPr>
            </w:pPr>
          </w:p>
        </w:tc>
        <w:tc>
          <w:tcPr>
            <w:tcW w:w="46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54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3"/>
                <w:szCs w:val="13"/>
                <w:color w:val="auto"/>
              </w:rPr>
              <w:t>Current asset investments (note 18)</w:t>
            </w:r>
          </w:p>
        </w:tc>
        <w:tc>
          <w:tcPr>
            <w:tcW w:w="4600" w:type="dxa"/>
            <w:vAlign w:val="bottom"/>
          </w:tcPr>
          <w:p>
            <w:pPr>
              <w:jc w:val="right"/>
              <w:ind w:right="336"/>
              <w:spacing w:after="0"/>
              <w:rPr>
                <w:sz w:val="20"/>
                <w:szCs w:val="20"/>
                <w:color w:val="auto"/>
              </w:rPr>
            </w:pPr>
            <w:r>
              <w:rPr>
                <w:rFonts w:ascii="Arial" w:cs="Arial" w:eastAsia="Arial" w:hAnsi="Arial"/>
                <w:sz w:val="13"/>
                <w:szCs w:val="13"/>
                <w:b w:val="1"/>
                <w:bCs w:val="1"/>
                <w:color w:val="auto"/>
              </w:rPr>
              <w:t>1,729</w:t>
            </w:r>
          </w:p>
        </w:tc>
        <w:tc>
          <w:tcPr>
            <w:tcW w:w="1140" w:type="dxa"/>
            <w:vAlign w:val="bottom"/>
          </w:tcPr>
          <w:p>
            <w:pPr>
              <w:jc w:val="right"/>
              <w:spacing w:after="0"/>
              <w:rPr>
                <w:sz w:val="20"/>
                <w:szCs w:val="20"/>
                <w:color w:val="auto"/>
              </w:rPr>
            </w:pPr>
            <w:r>
              <w:rPr>
                <w:rFonts w:ascii="Arial" w:cs="Arial" w:eastAsia="Arial" w:hAnsi="Arial"/>
                <w:sz w:val="13"/>
                <w:szCs w:val="13"/>
                <w:color w:val="auto"/>
              </w:rPr>
              <w:t>49,628</w:t>
            </w:r>
          </w:p>
        </w:tc>
      </w:tr>
      <w:tr>
        <w:trPr>
          <w:trHeight w:val="172"/>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(note 19)</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840,305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520,309</w:t>
            </w:r>
          </w:p>
        </w:tc>
      </w:tr>
      <w:tr>
        <w:trPr>
          <w:trHeight w:val="150"/>
        </w:trPr>
        <w:tc>
          <w:tcPr>
            <w:tcW w:w="55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liquid resources</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842,034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569,937</w:t>
            </w:r>
          </w:p>
        </w:tc>
      </w:tr>
      <w:tr>
        <w:trPr>
          <w:trHeight w:val="159"/>
        </w:trPr>
        <w:tc>
          <w:tcPr>
            <w:tcW w:w="55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1,880,669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1,641,609</w:t>
            </w:r>
          </w:p>
        </w:tc>
      </w:tr>
    </w:tbl>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Group’s primary objectives in managing its liquid and capital resources are as follows:</w:t>
      </w:r>
    </w:p>
    <w:p>
      <w:pPr>
        <w:spacing w:after="0" w:line="189" w:lineRule="exact"/>
        <w:rPr>
          <w:sz w:val="20"/>
          <w:szCs w:val="20"/>
          <w:color w:val="auto"/>
        </w:rPr>
      </w:pPr>
    </w:p>
    <w:p>
      <w:pPr>
        <w:ind w:left="500" w:hanging="304"/>
        <w:spacing w:after="0"/>
        <w:tabs>
          <w:tab w:leader="none" w:pos="5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to maintain adequate resources to fund its continued operations,</w:t>
      </w:r>
    </w:p>
    <w:p>
      <w:pPr>
        <w:ind w:left="500" w:hanging="304"/>
        <w:spacing w:after="0"/>
        <w:tabs>
          <w:tab w:leader="none" w:pos="5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to ensure availability of sufficient resources to sustain future development and growth of the business,</w:t>
      </w:r>
    </w:p>
    <w:p>
      <w:pPr>
        <w:ind w:left="500" w:hanging="304"/>
        <w:spacing w:after="0"/>
        <w:tabs>
          <w:tab w:leader="none" w:pos="5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to maintain sufficient resources to mitigate risks and unforeseen events which may arise.</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xml:space="preserve"> There were no funds drawn under the Revolving Credit Facility at 31 December 2020. The Group may raise additional finance through the issuance of ordinary shares or debt as required.</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Revolving Credit Facility bears interest at LIBOR plus a margin. The facility bears interest at LIBOR plus a margin. We continue to monitor the phasing out of LIBOR which is currently scheduled to begin in 2021 before complete phase out by June 2023.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 There were no amounts drawn on the Revolving Credit Facility at 31 December 2020. The Company is therefore subject to interest rate volatility in respect of any future draw down on the Revolving Credit Facility or in respect of any future issuances of debt.</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2015 Senior Notes matured on December 15, 2020 and this debt was repaid in full. On 8 December 2020, ICON Investments Five Unlimited Company issued new senior notes ('2020 Senior Notes') for aggregate gross proceeds of $350.0 million in a private placement which was guaranteed by ICON plc and ICON Global Treasury Unlimited Company, a subsidiary of the Company. The 2020 Senior Notes were issued in two tranches; Series A Notes of $275.0 million which will mature on 8 December 2023 and Series B Notes of $75.0 million which will mature on 8 December 2025. Interest payable on the 2020 Senior Notes is fixed at 2.32% and 2.43% for Series A Notes and Series B Notes,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80"/>
          </w:cols>
          <w:pgMar w:left="300" w:top="696" w:right="3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 ended 31 December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Carrying</w:t>
            </w:r>
          </w:p>
        </w:tc>
        <w:tc>
          <w:tcPr>
            <w:tcW w:w="148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Contractual cash</w:t>
            </w: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 months</w:t>
            </w: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r>
      <w:tr>
        <w:trPr>
          <w:trHeight w:val="177"/>
        </w:trPr>
        <w:tc>
          <w:tcPr>
            <w:tcW w:w="28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amount</w:t>
            </w:r>
          </w:p>
        </w:tc>
        <w:tc>
          <w:tcPr>
            <w:tcW w:w="14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flows</w:t>
            </w:r>
          </w:p>
        </w:tc>
        <w:tc>
          <w:tcPr>
            <w:tcW w:w="10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or less</w:t>
            </w:r>
          </w:p>
        </w:tc>
        <w:tc>
          <w:tcPr>
            <w:tcW w:w="12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6-12 months</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1-2 years</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2-5 years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68"/>
        </w:trPr>
        <w:tc>
          <w:tcPr>
            <w:tcW w:w="2860" w:type="dxa"/>
            <w:vAlign w:val="bottom"/>
          </w:tcPr>
          <w:p>
            <w:pPr>
              <w:spacing w:after="0"/>
              <w:rPr>
                <w:sz w:val="14"/>
                <w:szCs w:val="14"/>
                <w:color w:val="auto"/>
              </w:rPr>
            </w:pPr>
          </w:p>
        </w:tc>
        <w:tc>
          <w:tcPr>
            <w:tcW w:w="160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28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8"/>
        </w:trPr>
        <w:tc>
          <w:tcPr>
            <w:tcW w:w="2860" w:type="dxa"/>
            <w:vAlign w:val="bottom"/>
          </w:tcPr>
          <w:p>
            <w:pPr>
              <w:ind w:left="20"/>
              <w:spacing w:after="0"/>
              <w:rPr>
                <w:sz w:val="20"/>
                <w:szCs w:val="20"/>
                <w:color w:val="auto"/>
              </w:rPr>
            </w:pPr>
            <w:r>
              <w:rPr>
                <w:rFonts w:ascii="Arial" w:cs="Arial" w:eastAsia="Arial" w:hAnsi="Arial"/>
                <w:sz w:val="13"/>
                <w:szCs w:val="13"/>
                <w:color w:val="auto"/>
              </w:rPr>
              <w:t>Senior Notes</w:t>
            </w: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(348,477)</w:t>
            </w:r>
          </w:p>
        </w:tc>
        <w:tc>
          <w:tcPr>
            <w:tcW w:w="1480" w:type="dxa"/>
            <w:vAlign w:val="bottom"/>
          </w:tcPr>
          <w:p>
            <w:pPr>
              <w:jc w:val="right"/>
              <w:ind w:right="276"/>
              <w:spacing w:after="0"/>
              <w:rPr>
                <w:sz w:val="20"/>
                <w:szCs w:val="20"/>
                <w:color w:val="auto"/>
              </w:rPr>
            </w:pPr>
            <w:r>
              <w:rPr>
                <w:rFonts w:ascii="Arial" w:cs="Arial" w:eastAsia="Arial" w:hAnsi="Arial"/>
                <w:sz w:val="13"/>
                <w:szCs w:val="13"/>
                <w:color w:val="auto"/>
              </w:rPr>
              <w:t>(350,000)</w:t>
            </w:r>
          </w:p>
        </w:tc>
        <w:tc>
          <w:tcPr>
            <w:tcW w:w="10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16"/>
              <w:spacing w:after="0"/>
              <w:rPr>
                <w:sz w:val="20"/>
                <w:szCs w:val="20"/>
                <w:color w:val="auto"/>
              </w:rPr>
            </w:pPr>
            <w:r>
              <w:rPr>
                <w:rFonts w:ascii="Arial" w:cs="Arial" w:eastAsia="Arial" w:hAnsi="Arial"/>
                <w:sz w:val="13"/>
                <w:szCs w:val="13"/>
                <w:color w:val="auto"/>
              </w:rPr>
              <w:t>(350,000)</w:t>
            </w:r>
          </w:p>
        </w:tc>
        <w:tc>
          <w:tcPr>
            <w:tcW w:w="900" w:type="dxa"/>
            <w:vAlign w:val="bottom"/>
          </w:tcPr>
          <w:p>
            <w:pPr>
              <w:ind w:left="700"/>
              <w:spacing w:after="0"/>
              <w:rPr>
                <w:sz w:val="20"/>
                <w:szCs w:val="20"/>
                <w:color w:val="auto"/>
              </w:rPr>
            </w:pPr>
            <w:r>
              <w:rPr>
                <w:rFonts w:ascii="Arial" w:cs="Arial" w:eastAsia="Arial" w:hAnsi="Arial"/>
                <w:sz w:val="13"/>
                <w:szCs w:val="13"/>
                <w:color w:val="auto"/>
              </w:rPr>
              <w:t>—</w:t>
            </w:r>
          </w:p>
        </w:tc>
      </w:tr>
      <w:tr>
        <w:trPr>
          <w:trHeight w:val="172"/>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Senior Notes</w:t>
            </w: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(524)</w:t>
            </w:r>
          </w:p>
        </w:tc>
        <w:tc>
          <w:tcPr>
            <w:tcW w:w="14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(28,253)</w:t>
            </w: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(4,101)</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(4,101)</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(8,203)</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(11,848)</w:t>
            </w:r>
          </w:p>
        </w:tc>
        <w:tc>
          <w:tcPr>
            <w:tcW w:w="9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r>
      <w:tr>
        <w:trPr>
          <w:trHeight w:val="168"/>
        </w:trPr>
        <w:tc>
          <w:tcPr>
            <w:tcW w:w="286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(60,801)</w:t>
            </w:r>
          </w:p>
        </w:tc>
        <w:tc>
          <w:tcPr>
            <w:tcW w:w="1480" w:type="dxa"/>
            <w:vAlign w:val="bottom"/>
          </w:tcPr>
          <w:p>
            <w:pPr>
              <w:jc w:val="right"/>
              <w:ind w:right="276"/>
              <w:spacing w:after="0"/>
              <w:rPr>
                <w:sz w:val="20"/>
                <w:szCs w:val="20"/>
                <w:color w:val="auto"/>
              </w:rPr>
            </w:pPr>
            <w:r>
              <w:rPr>
                <w:rFonts w:ascii="Arial" w:cs="Arial" w:eastAsia="Arial" w:hAnsi="Arial"/>
                <w:sz w:val="13"/>
                <w:szCs w:val="13"/>
                <w:color w:val="auto"/>
              </w:rPr>
              <w:t>(64,319)</w:t>
            </w:r>
          </w:p>
        </w:tc>
        <w:tc>
          <w:tcPr>
            <w:tcW w:w="10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(21,510)</w:t>
            </w:r>
          </w:p>
        </w:tc>
        <w:tc>
          <w:tcPr>
            <w:tcW w:w="1100" w:type="dxa"/>
            <w:vAlign w:val="bottom"/>
          </w:tcPr>
          <w:p>
            <w:pPr>
              <w:jc w:val="right"/>
              <w:ind w:right="216"/>
              <w:spacing w:after="0"/>
              <w:rPr>
                <w:sz w:val="20"/>
                <w:szCs w:val="20"/>
                <w:color w:val="auto"/>
              </w:rPr>
            </w:pPr>
            <w:r>
              <w:rPr>
                <w:rFonts w:ascii="Arial" w:cs="Arial" w:eastAsia="Arial" w:hAnsi="Arial"/>
                <w:sz w:val="13"/>
                <w:szCs w:val="13"/>
                <w:color w:val="auto"/>
              </w:rPr>
              <w:t>(32,319)</w:t>
            </w:r>
          </w:p>
        </w:tc>
        <w:tc>
          <w:tcPr>
            <w:tcW w:w="900" w:type="dxa"/>
            <w:vAlign w:val="bottom"/>
          </w:tcPr>
          <w:p>
            <w:pPr>
              <w:ind w:left="400"/>
              <w:spacing w:after="0"/>
              <w:rPr>
                <w:sz w:val="20"/>
                <w:szCs w:val="20"/>
                <w:color w:val="auto"/>
              </w:rPr>
            </w:pPr>
            <w:r>
              <w:rPr>
                <w:rFonts w:ascii="Arial" w:cs="Arial" w:eastAsia="Arial" w:hAnsi="Arial"/>
                <w:sz w:val="13"/>
                <w:szCs w:val="13"/>
                <w:color w:val="auto"/>
                <w:w w:val="99"/>
              </w:rPr>
              <w:t>(10,490)</w:t>
            </w:r>
          </w:p>
        </w:tc>
      </w:tr>
      <w:tr>
        <w:trPr>
          <w:trHeight w:val="172"/>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(12,442)</w:t>
            </w:r>
          </w:p>
        </w:tc>
        <w:tc>
          <w:tcPr>
            <w:tcW w:w="14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(12,442)</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(224)</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(60)</w:t>
            </w:r>
          </w:p>
        </w:tc>
        <w:tc>
          <w:tcPr>
            <w:tcW w:w="90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9"/>
              </w:rPr>
              <w:t>(12,158)</w:t>
            </w:r>
          </w:p>
        </w:tc>
      </w:tr>
      <w:tr>
        <w:trPr>
          <w:trHeight w:val="168"/>
        </w:trPr>
        <w:tc>
          <w:tcPr>
            <w:tcW w:w="286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(51,113)</w:t>
            </w:r>
          </w:p>
        </w:tc>
        <w:tc>
          <w:tcPr>
            <w:tcW w:w="1480" w:type="dxa"/>
            <w:vAlign w:val="bottom"/>
          </w:tcPr>
          <w:p>
            <w:pPr>
              <w:jc w:val="right"/>
              <w:ind w:right="276"/>
              <w:spacing w:after="0"/>
              <w:rPr>
                <w:sz w:val="20"/>
                <w:szCs w:val="20"/>
                <w:color w:val="auto"/>
              </w:rPr>
            </w:pPr>
            <w:r>
              <w:rPr>
                <w:rFonts w:ascii="Arial" w:cs="Arial" w:eastAsia="Arial" w:hAnsi="Arial"/>
                <w:sz w:val="13"/>
                <w:szCs w:val="13"/>
                <w:color w:val="auto"/>
              </w:rPr>
              <w:t>(51,113)</w:t>
            </w:r>
          </w:p>
        </w:tc>
        <w:tc>
          <w:tcPr>
            <w:tcW w:w="1000" w:type="dxa"/>
            <w:vAlign w:val="bottom"/>
          </w:tcPr>
          <w:p>
            <w:pPr>
              <w:jc w:val="right"/>
              <w:ind w:right="176"/>
              <w:spacing w:after="0"/>
              <w:rPr>
                <w:sz w:val="20"/>
                <w:szCs w:val="20"/>
                <w:color w:val="auto"/>
              </w:rPr>
            </w:pPr>
            <w:r>
              <w:rPr>
                <w:rFonts w:ascii="Arial" w:cs="Arial" w:eastAsia="Arial" w:hAnsi="Arial"/>
                <w:sz w:val="13"/>
                <w:szCs w:val="13"/>
                <w:color w:val="auto"/>
              </w:rPr>
              <w:t>(51,113)</w:t>
            </w:r>
          </w:p>
        </w:tc>
        <w:tc>
          <w:tcPr>
            <w:tcW w:w="12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00" w:type="dxa"/>
            <w:vAlign w:val="bottom"/>
          </w:tcPr>
          <w:p>
            <w:pPr>
              <w:ind w:left="700"/>
              <w:spacing w:after="0"/>
              <w:rPr>
                <w:sz w:val="20"/>
                <w:szCs w:val="20"/>
                <w:color w:val="auto"/>
              </w:rPr>
            </w:pPr>
            <w:r>
              <w:rPr>
                <w:rFonts w:ascii="Arial" w:cs="Arial" w:eastAsia="Arial" w:hAnsi="Arial"/>
                <w:sz w:val="13"/>
                <w:szCs w:val="13"/>
                <w:color w:val="auto"/>
              </w:rPr>
              <w:t>—</w:t>
            </w:r>
          </w:p>
        </w:tc>
      </w:tr>
      <w:tr>
        <w:trPr>
          <w:trHeight w:val="170"/>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1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(391,977)</w:t>
            </w:r>
          </w:p>
        </w:tc>
        <w:tc>
          <w:tcPr>
            <w:tcW w:w="1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(391,977)</w:t>
            </w:r>
          </w:p>
        </w:tc>
        <w:tc>
          <w:tcPr>
            <w:tcW w:w="10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(379,810)</w:t>
            </w:r>
          </w:p>
        </w:tc>
        <w:tc>
          <w:tcPr>
            <w:tcW w:w="12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(12,167)</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r>
      <w:tr>
        <w:trPr>
          <w:trHeight w:val="152"/>
        </w:trPr>
        <w:tc>
          <w:tcPr>
            <w:tcW w:w="2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28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(865,334)</w:t>
            </w:r>
          </w:p>
        </w:tc>
        <w:tc>
          <w:tcPr>
            <w:tcW w:w="1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(898,104)</w:t>
            </w:r>
          </w:p>
        </w:tc>
        <w:tc>
          <w:tcPr>
            <w:tcW w:w="10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(435,024)</w:t>
            </w:r>
          </w:p>
        </w:tc>
        <w:tc>
          <w:tcPr>
            <w:tcW w:w="12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(16,268)</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(29,937)</w:t>
            </w:r>
          </w:p>
        </w:tc>
        <w:tc>
          <w:tcPr>
            <w:tcW w:w="11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(394,227)</w:t>
            </w:r>
          </w:p>
        </w:tc>
        <w:tc>
          <w:tcPr>
            <w:tcW w:w="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b w:val="1"/>
                <w:bCs w:val="1"/>
                <w:color w:val="auto"/>
                <w:w w:val="99"/>
              </w:rPr>
              <w:t>(22,648)</w:t>
            </w:r>
          </w:p>
        </w:tc>
      </w:tr>
      <w:tr>
        <w:trPr>
          <w:trHeight w:val="420"/>
        </w:trPr>
        <w:tc>
          <w:tcPr>
            <w:tcW w:w="2860" w:type="dxa"/>
            <w:vAlign w:val="bottom"/>
          </w:tcPr>
          <w:p>
            <w:pPr>
              <w:spacing w:after="0"/>
              <w:rPr>
                <w:sz w:val="20"/>
                <w:szCs w:val="20"/>
                <w:color w:val="auto"/>
              </w:rPr>
            </w:pPr>
            <w:r>
              <w:rPr>
                <w:rFonts w:ascii="Arial" w:cs="Arial" w:eastAsia="Arial" w:hAnsi="Arial"/>
                <w:sz w:val="13"/>
                <w:szCs w:val="13"/>
                <w:i w:val="1"/>
                <w:iCs w:val="1"/>
                <w:color w:val="auto"/>
              </w:rPr>
              <w:t>Year ended 31 December 2019</w:t>
            </w: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9"/>
        </w:trPr>
        <w:tc>
          <w:tcPr>
            <w:tcW w:w="28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198"/>
        </w:trPr>
        <w:tc>
          <w:tcPr>
            <w:tcW w:w="28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Carrying</w:t>
            </w:r>
          </w:p>
        </w:tc>
        <w:tc>
          <w:tcPr>
            <w:tcW w:w="14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Contractual cash</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 months</w:t>
            </w: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r>
      <w:tr>
        <w:trPr>
          <w:trHeight w:val="177"/>
        </w:trPr>
        <w:tc>
          <w:tcPr>
            <w:tcW w:w="28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amount</w:t>
            </w:r>
          </w:p>
        </w:tc>
        <w:tc>
          <w:tcPr>
            <w:tcW w:w="14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flows</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or less</w:t>
            </w:r>
          </w:p>
        </w:tc>
        <w:tc>
          <w:tcPr>
            <w:tcW w:w="12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6-12 months</w:t>
            </w:r>
          </w:p>
        </w:tc>
        <w:tc>
          <w:tcPr>
            <w:tcW w:w="11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1-2 years</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2-5 years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68"/>
        </w:trPr>
        <w:tc>
          <w:tcPr>
            <w:tcW w:w="2860" w:type="dxa"/>
            <w:vAlign w:val="bottom"/>
          </w:tcPr>
          <w:p>
            <w:pPr>
              <w:spacing w:after="0"/>
              <w:rPr>
                <w:sz w:val="14"/>
                <w:szCs w:val="14"/>
                <w:color w:val="auto"/>
              </w:rPr>
            </w:pPr>
          </w:p>
        </w:tc>
        <w:tc>
          <w:tcPr>
            <w:tcW w:w="160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28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8"/>
        </w:trPr>
        <w:tc>
          <w:tcPr>
            <w:tcW w:w="2860" w:type="dxa"/>
            <w:vAlign w:val="bottom"/>
          </w:tcPr>
          <w:p>
            <w:pPr>
              <w:ind w:left="20"/>
              <w:spacing w:after="0"/>
              <w:rPr>
                <w:sz w:val="20"/>
                <w:szCs w:val="20"/>
                <w:color w:val="auto"/>
              </w:rPr>
            </w:pPr>
            <w:r>
              <w:rPr>
                <w:rFonts w:ascii="Arial" w:cs="Arial" w:eastAsia="Arial" w:hAnsi="Arial"/>
                <w:sz w:val="13"/>
                <w:szCs w:val="13"/>
                <w:color w:val="auto"/>
              </w:rPr>
              <w:t>Senior Notes</w:t>
            </w: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(349,640)</w:t>
            </w:r>
          </w:p>
        </w:tc>
        <w:tc>
          <w:tcPr>
            <w:tcW w:w="1480" w:type="dxa"/>
            <w:vAlign w:val="bottom"/>
          </w:tcPr>
          <w:p>
            <w:pPr>
              <w:jc w:val="right"/>
              <w:ind w:right="156"/>
              <w:spacing w:after="0"/>
              <w:rPr>
                <w:sz w:val="20"/>
                <w:szCs w:val="20"/>
                <w:color w:val="auto"/>
              </w:rPr>
            </w:pPr>
            <w:r>
              <w:rPr>
                <w:rFonts w:ascii="Arial" w:cs="Arial" w:eastAsia="Arial" w:hAnsi="Arial"/>
                <w:sz w:val="13"/>
                <w:szCs w:val="13"/>
                <w:color w:val="auto"/>
              </w:rPr>
              <w:t>(350,000)</w:t>
            </w:r>
          </w:p>
        </w:tc>
        <w:tc>
          <w:tcPr>
            <w:tcW w:w="10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76"/>
              <w:spacing w:after="0"/>
              <w:rPr>
                <w:sz w:val="20"/>
                <w:szCs w:val="20"/>
                <w:color w:val="auto"/>
              </w:rPr>
            </w:pPr>
            <w:r>
              <w:rPr>
                <w:rFonts w:ascii="Arial" w:cs="Arial" w:eastAsia="Arial" w:hAnsi="Arial"/>
                <w:sz w:val="13"/>
                <w:szCs w:val="13"/>
                <w:color w:val="auto"/>
              </w:rPr>
              <w:t>(350,000)</w:t>
            </w:r>
          </w:p>
        </w:tc>
        <w:tc>
          <w:tcPr>
            <w:tcW w:w="11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00" w:type="dxa"/>
            <w:vAlign w:val="bottom"/>
          </w:tcPr>
          <w:p>
            <w:pPr>
              <w:ind w:left="700"/>
              <w:spacing w:after="0"/>
              <w:rPr>
                <w:sz w:val="20"/>
                <w:szCs w:val="20"/>
                <w:color w:val="auto"/>
              </w:rPr>
            </w:pPr>
            <w:r>
              <w:rPr>
                <w:rFonts w:ascii="Arial" w:cs="Arial" w:eastAsia="Arial" w:hAnsi="Arial"/>
                <w:sz w:val="13"/>
                <w:szCs w:val="13"/>
                <w:color w:val="auto"/>
              </w:rPr>
              <w:t>—</w:t>
            </w:r>
          </w:p>
        </w:tc>
      </w:tr>
      <w:tr>
        <w:trPr>
          <w:trHeight w:val="172"/>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Senior Notes</w:t>
            </w: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(566)</w:t>
            </w:r>
          </w:p>
        </w:tc>
        <w:tc>
          <w:tcPr>
            <w:tcW w:w="14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(12,740)</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(6,370)</w:t>
            </w:r>
          </w:p>
        </w:tc>
        <w:tc>
          <w:tcPr>
            <w:tcW w:w="12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(6,370)</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r>
      <w:tr>
        <w:trPr>
          <w:trHeight w:val="168"/>
        </w:trPr>
        <w:tc>
          <w:tcPr>
            <w:tcW w:w="286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(76,593)</w:t>
            </w:r>
          </w:p>
        </w:tc>
        <w:tc>
          <w:tcPr>
            <w:tcW w:w="1480" w:type="dxa"/>
            <w:vAlign w:val="bottom"/>
          </w:tcPr>
          <w:p>
            <w:pPr>
              <w:jc w:val="right"/>
              <w:ind w:right="156"/>
              <w:spacing w:after="0"/>
              <w:rPr>
                <w:sz w:val="20"/>
                <w:szCs w:val="20"/>
                <w:color w:val="auto"/>
              </w:rPr>
            </w:pPr>
            <w:r>
              <w:rPr>
                <w:rFonts w:ascii="Arial" w:cs="Arial" w:eastAsia="Arial" w:hAnsi="Arial"/>
                <w:sz w:val="13"/>
                <w:szCs w:val="13"/>
                <w:color w:val="auto"/>
              </w:rPr>
              <w:t>(84,904)</w:t>
            </w:r>
          </w:p>
        </w:tc>
        <w:tc>
          <w:tcPr>
            <w:tcW w:w="10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96"/>
              <w:spacing w:after="0"/>
              <w:rPr>
                <w:sz w:val="20"/>
                <w:szCs w:val="20"/>
                <w:color w:val="auto"/>
              </w:rPr>
            </w:pPr>
            <w:r>
              <w:rPr>
                <w:rFonts w:ascii="Arial" w:cs="Arial" w:eastAsia="Arial" w:hAnsi="Arial"/>
                <w:sz w:val="13"/>
                <w:szCs w:val="13"/>
                <w:color w:val="auto"/>
              </w:rPr>
              <w:t>(25,315)</w:t>
            </w:r>
          </w:p>
        </w:tc>
        <w:tc>
          <w:tcPr>
            <w:tcW w:w="1100" w:type="dxa"/>
            <w:vAlign w:val="bottom"/>
          </w:tcPr>
          <w:p>
            <w:pPr>
              <w:jc w:val="right"/>
              <w:ind w:right="216"/>
              <w:spacing w:after="0"/>
              <w:rPr>
                <w:sz w:val="20"/>
                <w:szCs w:val="20"/>
                <w:color w:val="auto"/>
              </w:rPr>
            </w:pPr>
            <w:r>
              <w:rPr>
                <w:rFonts w:ascii="Arial" w:cs="Arial" w:eastAsia="Arial" w:hAnsi="Arial"/>
                <w:sz w:val="13"/>
                <w:szCs w:val="13"/>
                <w:color w:val="auto"/>
              </w:rPr>
              <w:t>(42,325)</w:t>
            </w:r>
          </w:p>
        </w:tc>
        <w:tc>
          <w:tcPr>
            <w:tcW w:w="900" w:type="dxa"/>
            <w:vAlign w:val="bottom"/>
          </w:tcPr>
          <w:p>
            <w:pPr>
              <w:ind w:left="400"/>
              <w:spacing w:after="0"/>
              <w:rPr>
                <w:sz w:val="20"/>
                <w:szCs w:val="20"/>
                <w:color w:val="auto"/>
              </w:rPr>
            </w:pPr>
            <w:r>
              <w:rPr>
                <w:rFonts w:ascii="Arial" w:cs="Arial" w:eastAsia="Arial" w:hAnsi="Arial"/>
                <w:sz w:val="13"/>
                <w:szCs w:val="13"/>
                <w:color w:val="auto"/>
                <w:w w:val="99"/>
              </w:rPr>
              <w:t>(17,264)</w:t>
            </w:r>
          </w:p>
        </w:tc>
      </w:tr>
      <w:tr>
        <w:trPr>
          <w:trHeight w:val="172"/>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(11,033)</w:t>
            </w:r>
          </w:p>
        </w:tc>
        <w:tc>
          <w:tcPr>
            <w:tcW w:w="14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(11,033)</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(91)</w:t>
            </w:r>
          </w:p>
        </w:tc>
        <w:tc>
          <w:tcPr>
            <w:tcW w:w="12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(93)</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(126)</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(136)</w:t>
            </w:r>
          </w:p>
        </w:tc>
        <w:tc>
          <w:tcPr>
            <w:tcW w:w="90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9"/>
              </w:rPr>
              <w:t>(10,589)</w:t>
            </w:r>
          </w:p>
        </w:tc>
      </w:tr>
      <w:tr>
        <w:trPr>
          <w:trHeight w:val="168"/>
        </w:trPr>
        <w:tc>
          <w:tcPr>
            <w:tcW w:w="286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(24,050)</w:t>
            </w:r>
          </w:p>
        </w:tc>
        <w:tc>
          <w:tcPr>
            <w:tcW w:w="1480" w:type="dxa"/>
            <w:vAlign w:val="bottom"/>
          </w:tcPr>
          <w:p>
            <w:pPr>
              <w:jc w:val="right"/>
              <w:ind w:right="156"/>
              <w:spacing w:after="0"/>
              <w:rPr>
                <w:sz w:val="20"/>
                <w:szCs w:val="20"/>
                <w:color w:val="auto"/>
              </w:rPr>
            </w:pPr>
            <w:r>
              <w:rPr>
                <w:rFonts w:ascii="Arial" w:cs="Arial" w:eastAsia="Arial" w:hAnsi="Arial"/>
                <w:sz w:val="13"/>
                <w:szCs w:val="13"/>
                <w:color w:val="auto"/>
              </w:rPr>
              <w:t>(24,050)</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(24,050)</w:t>
            </w:r>
          </w:p>
        </w:tc>
        <w:tc>
          <w:tcPr>
            <w:tcW w:w="12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00" w:type="dxa"/>
            <w:vAlign w:val="bottom"/>
          </w:tcPr>
          <w:p>
            <w:pPr>
              <w:ind w:left="700"/>
              <w:spacing w:after="0"/>
              <w:rPr>
                <w:sz w:val="20"/>
                <w:szCs w:val="20"/>
                <w:color w:val="auto"/>
              </w:rPr>
            </w:pPr>
            <w:r>
              <w:rPr>
                <w:rFonts w:ascii="Arial" w:cs="Arial" w:eastAsia="Arial" w:hAnsi="Arial"/>
                <w:sz w:val="13"/>
                <w:szCs w:val="13"/>
                <w:color w:val="auto"/>
              </w:rPr>
              <w:t>—</w:t>
            </w:r>
          </w:p>
        </w:tc>
      </w:tr>
      <w:tr>
        <w:trPr>
          <w:trHeight w:val="172"/>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 payable</w:t>
            </w: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(2,500)</w:t>
            </w:r>
          </w:p>
        </w:tc>
        <w:tc>
          <w:tcPr>
            <w:tcW w:w="14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(2,500)</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(2,500)</w:t>
            </w:r>
          </w:p>
        </w:tc>
        <w:tc>
          <w:tcPr>
            <w:tcW w:w="12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r>
      <w:tr>
        <w:trPr>
          <w:trHeight w:val="168"/>
        </w:trPr>
        <w:tc>
          <w:tcPr>
            <w:tcW w:w="2860" w:type="dxa"/>
            <w:vAlign w:val="bottom"/>
          </w:tcPr>
          <w:p>
            <w:pPr>
              <w:ind w:left="20"/>
              <w:spacing w:after="0"/>
              <w:rPr>
                <w:sz w:val="20"/>
                <w:szCs w:val="20"/>
                <w:color w:val="auto"/>
              </w:rPr>
            </w:pPr>
            <w:r>
              <w:rPr>
                <w:rFonts w:ascii="Arial" w:cs="Arial" w:eastAsia="Arial" w:hAnsi="Arial"/>
                <w:sz w:val="13"/>
                <w:szCs w:val="13"/>
                <w:color w:val="auto"/>
              </w:rPr>
              <w:t>Gross obligation under put option</w:t>
            </w: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(47,205)</w:t>
            </w:r>
          </w:p>
        </w:tc>
        <w:tc>
          <w:tcPr>
            <w:tcW w:w="1480" w:type="dxa"/>
            <w:vAlign w:val="bottom"/>
          </w:tcPr>
          <w:p>
            <w:pPr>
              <w:jc w:val="right"/>
              <w:ind w:right="156"/>
              <w:spacing w:after="0"/>
              <w:rPr>
                <w:sz w:val="20"/>
                <w:szCs w:val="20"/>
                <w:color w:val="auto"/>
              </w:rPr>
            </w:pPr>
            <w:r>
              <w:rPr>
                <w:rFonts w:ascii="Arial" w:cs="Arial" w:eastAsia="Arial" w:hAnsi="Arial"/>
                <w:sz w:val="13"/>
                <w:szCs w:val="13"/>
                <w:color w:val="auto"/>
              </w:rPr>
              <w:t>(47,205)</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(47,205)</w:t>
            </w:r>
          </w:p>
        </w:tc>
        <w:tc>
          <w:tcPr>
            <w:tcW w:w="12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00" w:type="dxa"/>
            <w:vAlign w:val="bottom"/>
          </w:tcPr>
          <w:p>
            <w:pPr>
              <w:ind w:left="700"/>
              <w:spacing w:after="0"/>
              <w:rPr>
                <w:sz w:val="20"/>
                <w:szCs w:val="20"/>
                <w:color w:val="auto"/>
              </w:rPr>
            </w:pPr>
            <w:r>
              <w:rPr>
                <w:rFonts w:ascii="Arial" w:cs="Arial" w:eastAsia="Arial" w:hAnsi="Arial"/>
                <w:sz w:val="13"/>
                <w:szCs w:val="13"/>
                <w:color w:val="auto"/>
              </w:rPr>
              <w:t>—</w:t>
            </w:r>
          </w:p>
        </w:tc>
      </w:tr>
      <w:tr>
        <w:trPr>
          <w:trHeight w:val="170"/>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1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(421,425)</w:t>
            </w:r>
          </w:p>
        </w:tc>
        <w:tc>
          <w:tcPr>
            <w:tcW w:w="14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(421,425)</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(407,265)</w:t>
            </w:r>
          </w:p>
        </w:tc>
        <w:tc>
          <w:tcPr>
            <w:tcW w:w="12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(14,160)</w:t>
            </w:r>
          </w:p>
        </w:tc>
        <w:tc>
          <w:tcPr>
            <w:tcW w:w="11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r>
      <w:tr>
        <w:trPr>
          <w:trHeight w:val="152"/>
        </w:trPr>
        <w:tc>
          <w:tcPr>
            <w:tcW w:w="2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28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(933,012)</w:t>
            </w:r>
          </w:p>
        </w:tc>
        <w:tc>
          <w:tcPr>
            <w:tcW w:w="14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(953,857)</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(487,481)</w:t>
            </w:r>
          </w:p>
        </w:tc>
        <w:tc>
          <w:tcPr>
            <w:tcW w:w="12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(370,623)</w:t>
            </w:r>
          </w:p>
        </w:tc>
        <w:tc>
          <w:tcPr>
            <w:tcW w:w="11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(25,441)</w:t>
            </w:r>
          </w:p>
        </w:tc>
        <w:tc>
          <w:tcPr>
            <w:tcW w:w="11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(42,461)</w:t>
            </w:r>
          </w:p>
        </w:tc>
        <w:tc>
          <w:tcPr>
            <w:tcW w:w="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b w:val="1"/>
                <w:bCs w:val="1"/>
                <w:color w:val="auto"/>
                <w:w w:val="99"/>
              </w:rPr>
              <w:t>(27,853)</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Non-current other liabilities above excludes retirement plan net benefit obligation (2020: $10.4 million and 2019: $6.1 million) and deferred government grants (2020: $0.8 million and 2019: $0.8</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million). Accrued and other liabilities excludes interest on senior notes presented separately above and deferred government grants (2020: $48,000 and 2019: $45,000).</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presents its results in U.S. dollars. As a consequence the results of non-U.S. based operations, when translated into U.S. dollars, could be affected by fluctuations in exchange rates between the U.S. dollar and the currencies of those operations.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80"/>
          </w:cols>
          <w:pgMar w:left="300" w:top="696" w:right="3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The Group regularly reviews its foreign currency exposures and usually negotiates currency fluctuation clauses in its contracts which allow for price negotiation if certain exchange rate triggers occur.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20" w:type="dxa"/>
            <w:vAlign w:val="bottom"/>
          </w:tcPr>
          <w:p>
            <w:pPr>
              <w:spacing w:after="0"/>
              <w:rPr>
                <w:sz w:val="20"/>
                <w:szCs w:val="20"/>
                <w:color w:val="auto"/>
              </w:rPr>
            </w:pPr>
            <w:r>
              <w:rPr>
                <w:rFonts w:ascii="Arial" w:cs="Arial" w:eastAsia="Arial" w:hAnsi="Arial"/>
                <w:sz w:val="13"/>
                <w:szCs w:val="13"/>
                <w:color w:val="auto"/>
              </w:rPr>
              <w:t>The following significant exchange rates applied during the year:</w:t>
            </w:r>
          </w:p>
        </w:tc>
        <w:tc>
          <w:tcPr>
            <w:tcW w:w="2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6"/>
        </w:trPr>
        <w:tc>
          <w:tcPr>
            <w:tcW w:w="5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70"/>
        </w:trPr>
        <w:tc>
          <w:tcPr>
            <w:tcW w:w="5020" w:type="dxa"/>
            <w:vAlign w:val="bottom"/>
            <w:shd w:val="clear" w:color="auto" w:fill="CCEEFF"/>
          </w:tcPr>
          <w:p>
            <w:pPr>
              <w:spacing w:after="0"/>
              <w:rPr>
                <w:sz w:val="14"/>
                <w:szCs w:val="14"/>
                <w:color w:val="auto"/>
              </w:rPr>
            </w:pPr>
          </w:p>
        </w:tc>
        <w:tc>
          <w:tcPr>
            <w:tcW w:w="25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Average Rate</w:t>
            </w:r>
          </w:p>
        </w:tc>
        <w:tc>
          <w:tcPr>
            <w:tcW w:w="1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Closing Rate</w:t>
            </w:r>
          </w:p>
        </w:tc>
        <w:tc>
          <w:tcPr>
            <w:tcW w:w="740" w:type="dxa"/>
            <w:vAlign w:val="bottom"/>
            <w:shd w:val="clear" w:color="auto" w:fill="CCEEFF"/>
          </w:tcPr>
          <w:p>
            <w:pPr>
              <w:spacing w:after="0"/>
              <w:rPr>
                <w:sz w:val="14"/>
                <w:szCs w:val="14"/>
                <w:color w:val="auto"/>
              </w:rPr>
            </w:pPr>
          </w:p>
        </w:tc>
      </w:tr>
      <w:tr>
        <w:trPr>
          <w:trHeight w:val="169"/>
        </w:trPr>
        <w:tc>
          <w:tcPr>
            <w:tcW w:w="50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2020</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2019</w:t>
            </w:r>
          </w:p>
        </w:tc>
        <w:tc>
          <w:tcPr>
            <w:tcW w:w="17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r>
      <w:tr>
        <w:trPr>
          <w:trHeight w:val="150"/>
        </w:trPr>
        <w:tc>
          <w:tcPr>
            <w:tcW w:w="502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6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Euro 1:$</w:t>
            </w:r>
          </w:p>
        </w:tc>
        <w:tc>
          <w:tcPr>
            <w:tcW w:w="25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1.1357</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1.1183</w:t>
            </w:r>
          </w:p>
        </w:tc>
        <w:tc>
          <w:tcPr>
            <w:tcW w:w="17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1.2216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1.1213</w:t>
            </w:r>
          </w:p>
        </w:tc>
      </w:tr>
      <w:tr>
        <w:trPr>
          <w:trHeight w:val="150"/>
        </w:trPr>
        <w:tc>
          <w:tcPr>
            <w:tcW w:w="502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1"/>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25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1.2821</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1.2735</w:t>
            </w:r>
          </w:p>
        </w:tc>
        <w:tc>
          <w:tcPr>
            <w:tcW w:w="17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1.3670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1.3257</w:t>
            </w:r>
          </w:p>
        </w:tc>
      </w:tr>
    </w:tbl>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 simultaneous ten percent strengthening or weakening of the US Dollar, Euro and Sterling against all other currencies (which remained constant) would have increased or decreased profit by $3.2 million, $13.0 million and $5.6 million respectively (31 December 2019: $1.1 million, $12.7 million and $5.8 million respectively) as a consequence of the retranslation of foreign currency denominated financial assets and liabilities at those dates. This change in profit is excluding the effect of foreign currency denominated long term loans.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 is exposed to interest rate risk in respect of its cash and cash equivalents, current asset investments and amounts drawn under negotiated facilities which are subject to variable rates of interest. Funds drawn under the 3 year and 5 year private placement bonds are subject to fixed rates until 2023 and 2025 respectively. As the Group does not account for these fixed rate liabilities at fair value through profit or loss, any change in market interest rates has no effect on the profit or loss. 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In addition to interest rate risk on surplus cash balances invested, the Group may also be subject to interest rate risk on amounts drawn under negotiated facilities which are subject to variable rates of interest. Details of the Group’s negotiated facility are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xml:space="preserve"> at 31 December 2020. The Group manages interest rate risk in respect of amounts under negotiated facilities through ongoing monitoring of actual and forecast cash balances, reviewing existing and future cash requirements of the business and by reviewing existing levels of borrowings having regard to current market interest rates and future trends. There are no amounts drawn under the Group’s revolving credit facility at 31 December 2020.</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On 8 December 2020, the Company issued new senior notes, '2020 Senior Notes' for aggregate gross proceeds of $350.0 million in the private placement market. The 2020 Senior Notes were issued in two tranches; Series A Notes of $275.0 million at a fixed interest rate of 2.32% and Series B Notes of $75.0 million at a fixed interest rate of 2.43%. The effective interest rate is adjusted by the impact of an interest rate cash flow hedge which was entered into in advance of the rate fixing date and associated transaction fees. This cash flow hedge was deemed to be fully effective in accordance with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The realised loss related to this derivative is recorded within other comprehensive income and is amortised over the life of the 2020 Senior Notes. The effective rate on the 2020 Senior Notes is fixed at 2.41%.</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Interest payable on the 2020 Senior Notes is fixed at 2.32% and 2.43% for Series A Notes and Series B Notes respectively. The interest is payable semi-annually on the 2020 Senior Notes on each June 8 and December 8, which will commence on June 8, 2021. The Company entered into an interest rate hedge in respect of the planned issuance of the 2020 Senior Notes in June 2020. The interest rate hedge matured in July 2020 when the interest rates on the 2020 Senior Notes was fixed. The interest rate hedge was effective in accordance with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There was a cash outflow on maturity in July 2020, representing the realised loss on the interest rate hedge.</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2020 Senior A Notes which will mature on December 8, 2023 and 2020 Series B Notes will mature on December 8, 2025. We regularly evaluate our debt arrangements, as well as market conditions, and during the year we will explore the opportunity to modify our existing arrangements or pursue additional financing arrangements that may result in the issuance of new debt securities by us or our affiliates.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280"/>
          </w:cols>
          <w:pgMar w:left="300" w:top="696" w:right="31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sensitivity analysis below represents the revised amount following the hypothetical change in our interest income and interest expense based on an immediate 1% movement in market interest rates.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40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Interest Income</w:t>
            </w:r>
          </w:p>
        </w:tc>
        <w:tc>
          <w:tcPr>
            <w:tcW w:w="12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Interest Expense</w:t>
            </w:r>
          </w:p>
        </w:tc>
        <w:tc>
          <w:tcPr>
            <w:tcW w:w="720" w:type="dxa"/>
            <w:vAlign w:val="bottom"/>
            <w:shd w:val="clear" w:color="auto" w:fill="CCEEFF"/>
          </w:tcPr>
          <w:p>
            <w:pPr>
              <w:spacing w:after="0"/>
              <w:rPr>
                <w:sz w:val="14"/>
                <w:szCs w:val="14"/>
                <w:color w:val="auto"/>
              </w:rPr>
            </w:pPr>
          </w:p>
        </w:tc>
      </w:tr>
      <w:tr>
        <w:trPr>
          <w:trHeight w:val="169"/>
        </w:trPr>
        <w:tc>
          <w:tcPr>
            <w:tcW w:w="2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2020</w:t>
            </w: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2019</w:t>
            </w:r>
          </w:p>
        </w:tc>
        <w:tc>
          <w:tcPr>
            <w:tcW w:w="18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r>
      <w:tr>
        <w:trPr>
          <w:trHeight w:val="161"/>
        </w:trPr>
        <w:tc>
          <w:tcPr>
            <w:tcW w:w="22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400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$’000</w:t>
            </w:r>
          </w:p>
        </w:tc>
        <w:tc>
          <w:tcPr>
            <w:tcW w:w="12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$’000</w:t>
            </w:r>
          </w:p>
        </w:tc>
        <w:tc>
          <w:tcPr>
            <w:tcW w:w="1800" w:type="dxa"/>
            <w:vAlign w:val="bottom"/>
            <w:shd w:val="clear" w:color="auto" w:fill="CCEEFF"/>
          </w:tcPr>
          <w:p>
            <w:pPr>
              <w:jc w:val="right"/>
              <w:ind w:right="716"/>
              <w:spacing w:after="0"/>
              <w:rPr>
                <w:sz w:val="20"/>
                <w:szCs w:val="20"/>
                <w:color w:val="auto"/>
              </w:rPr>
            </w:pPr>
            <w:r>
              <w:rPr>
                <w:rFonts w:ascii="Arial" w:cs="Arial" w:eastAsia="Arial" w:hAnsi="Arial"/>
                <w:sz w:val="13"/>
                <w:szCs w:val="13"/>
                <w:b w:val="1"/>
                <w:bCs w:val="1"/>
                <w:color w:val="auto"/>
              </w:rPr>
              <w:t>$’000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3540" w:type="dxa"/>
            <w:vAlign w:val="bottom"/>
            <w:gridSpan w:val="2"/>
          </w:tcPr>
          <w:p>
            <w:pPr>
              <w:spacing w:after="0"/>
              <w:rPr>
                <w:sz w:val="14"/>
                <w:szCs w:val="14"/>
                <w:color w:val="auto"/>
              </w:rPr>
            </w:pPr>
          </w:p>
        </w:tc>
        <w:tc>
          <w:tcPr>
            <w:tcW w:w="4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As reported</w:t>
            </w:r>
          </w:p>
        </w:tc>
        <w:tc>
          <w:tcPr>
            <w:tcW w:w="40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b w:val="1"/>
                <w:bCs w:val="1"/>
                <w:color w:val="auto"/>
              </w:rPr>
              <w:t>2,724</w:t>
            </w:r>
          </w:p>
        </w:tc>
        <w:tc>
          <w:tcPr>
            <w:tcW w:w="12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6,859</w:t>
            </w:r>
          </w:p>
        </w:tc>
        <w:tc>
          <w:tcPr>
            <w:tcW w:w="18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13,019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15,902</w:t>
            </w:r>
          </w:p>
        </w:tc>
      </w:tr>
      <w:tr>
        <w:trPr>
          <w:trHeight w:val="159"/>
        </w:trPr>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1"/>
        </w:trPr>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w:t>
            </w:r>
          </w:p>
        </w:tc>
        <w:tc>
          <w:tcPr>
            <w:tcW w:w="40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b w:val="1"/>
                <w:bCs w:val="1"/>
                <w:color w:val="auto"/>
              </w:rPr>
              <w:t>9,011</w:t>
            </w:r>
          </w:p>
        </w:tc>
        <w:tc>
          <w:tcPr>
            <w:tcW w:w="12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11,165</w:t>
            </w:r>
          </w:p>
        </w:tc>
        <w:tc>
          <w:tcPr>
            <w:tcW w:w="18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b w:val="1"/>
                <w:bCs w:val="1"/>
                <w:color w:val="auto"/>
              </w:rPr>
              <w:t>13,019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15,902</w:t>
            </w:r>
          </w:p>
        </w:tc>
      </w:tr>
      <w:tr>
        <w:trPr>
          <w:trHeight w:val="159"/>
        </w:trPr>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1"/>
        </w:trPr>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Decrease</w:t>
            </w:r>
          </w:p>
        </w:tc>
        <w:tc>
          <w:tcPr>
            <w:tcW w:w="40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b w:val="1"/>
                <w:bCs w:val="1"/>
                <w:color w:val="auto"/>
              </w:rPr>
              <w:t>244</w:t>
            </w:r>
          </w:p>
        </w:tc>
        <w:tc>
          <w:tcPr>
            <w:tcW w:w="12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2,537</w:t>
            </w:r>
          </w:p>
        </w:tc>
        <w:tc>
          <w:tcPr>
            <w:tcW w:w="18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b w:val="1"/>
                <w:bCs w:val="1"/>
                <w:color w:val="auto"/>
              </w:rPr>
              <w:t>13,019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15,902</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 variable debt drawn down during the year ended 31 December 2020 or 31 December 2019.</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0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are based upon unadjusted quoted prices for identical instruments traded in active markets.</w:t>
      </w:r>
    </w:p>
    <w:p>
      <w:pPr>
        <w:spacing w:after="0" w:line="148" w:lineRule="exact"/>
        <w:rPr>
          <w:sz w:val="20"/>
          <w:szCs w:val="20"/>
          <w:color w:val="auto"/>
        </w:rPr>
      </w:pPr>
    </w:p>
    <w:p>
      <w:pPr>
        <w:jc w:val="both"/>
        <w:ind w:left="1200" w:right="40" w:hanging="1177"/>
        <w:spacing w:after="0" w:line="218" w:lineRule="auto"/>
        <w:tabs>
          <w:tab w:leader="none" w:pos="118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44"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are generally unobservable and typically reflect management’s estimates of assumptions that market participants would use in pricing the asset or liability.</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financial assets together with the carrying amounts shown in the Statement of Financial Position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31 December</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31 December</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4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1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2020</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2019</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46"/>
        </w:trPr>
        <w:tc>
          <w:tcPr>
            <w:tcW w:w="4160" w:type="dxa"/>
            <w:vAlign w:val="bottom"/>
          </w:tcPr>
          <w:p>
            <w:pPr>
              <w:spacing w:after="0"/>
              <w:rPr>
                <w:sz w:val="12"/>
                <w:szCs w:val="12"/>
                <w:color w:val="auto"/>
              </w:rPr>
            </w:pPr>
          </w:p>
        </w:tc>
        <w:tc>
          <w:tcPr>
            <w:tcW w:w="1380" w:type="dxa"/>
            <w:vAlign w:val="bottom"/>
          </w:tcPr>
          <w:p>
            <w:pPr>
              <w:jc w:val="right"/>
              <w:ind w:right="136"/>
              <w:spacing w:after="0" w:line="146" w:lineRule="exact"/>
              <w:rPr>
                <w:sz w:val="20"/>
                <w:szCs w:val="20"/>
                <w:color w:val="auto"/>
              </w:rPr>
            </w:pPr>
            <w:r>
              <w:rPr>
                <w:rFonts w:ascii="Arial" w:cs="Arial" w:eastAsia="Arial" w:hAnsi="Arial"/>
                <w:sz w:val="13"/>
                <w:szCs w:val="13"/>
                <w:b w:val="1"/>
                <w:bCs w:val="1"/>
                <w:color w:val="auto"/>
              </w:rPr>
              <w:t>Carrying</w:t>
            </w:r>
          </w:p>
        </w:tc>
        <w:tc>
          <w:tcPr>
            <w:tcW w:w="102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Fair</w:t>
            </w:r>
          </w:p>
        </w:tc>
        <w:tc>
          <w:tcPr>
            <w:tcW w:w="1340" w:type="dxa"/>
            <w:vAlign w:val="bottom"/>
          </w:tcPr>
          <w:p>
            <w:pPr>
              <w:jc w:val="right"/>
              <w:ind w:right="156"/>
              <w:spacing w:after="0" w:line="146" w:lineRule="exact"/>
              <w:rPr>
                <w:sz w:val="20"/>
                <w:szCs w:val="20"/>
                <w:color w:val="auto"/>
              </w:rPr>
            </w:pPr>
            <w:r>
              <w:rPr>
                <w:rFonts w:ascii="Arial" w:cs="Arial" w:eastAsia="Arial" w:hAnsi="Arial"/>
                <w:sz w:val="13"/>
                <w:szCs w:val="13"/>
                <w:b w:val="1"/>
                <w:bCs w:val="1"/>
                <w:color w:val="auto"/>
              </w:rPr>
              <w:t>Fair Value Level 3</w:t>
            </w:r>
          </w:p>
        </w:tc>
        <w:tc>
          <w:tcPr>
            <w:tcW w:w="1200" w:type="dxa"/>
            <w:vAlign w:val="bottom"/>
          </w:tcPr>
          <w:p>
            <w:pPr>
              <w:jc w:val="right"/>
              <w:ind w:right="136"/>
              <w:spacing w:after="0" w:line="146" w:lineRule="exact"/>
              <w:rPr>
                <w:sz w:val="20"/>
                <w:szCs w:val="20"/>
                <w:color w:val="auto"/>
              </w:rPr>
            </w:pPr>
            <w:r>
              <w:rPr>
                <w:rFonts w:ascii="Arial" w:cs="Arial" w:eastAsia="Arial" w:hAnsi="Arial"/>
                <w:sz w:val="13"/>
                <w:szCs w:val="13"/>
                <w:color w:val="auto"/>
              </w:rPr>
              <w:t>Carrying</w:t>
            </w:r>
          </w:p>
        </w:tc>
        <w:tc>
          <w:tcPr>
            <w:tcW w:w="1060" w:type="dxa"/>
            <w:vAlign w:val="bottom"/>
          </w:tcPr>
          <w:p>
            <w:pPr>
              <w:jc w:val="right"/>
              <w:ind w:right="16"/>
              <w:spacing w:after="0" w:line="146" w:lineRule="exact"/>
              <w:rPr>
                <w:sz w:val="20"/>
                <w:szCs w:val="20"/>
                <w:color w:val="auto"/>
              </w:rPr>
            </w:pPr>
            <w:r>
              <w:rPr>
                <w:rFonts w:ascii="Arial" w:cs="Arial" w:eastAsia="Arial" w:hAnsi="Arial"/>
                <w:sz w:val="13"/>
                <w:szCs w:val="13"/>
                <w:color w:val="auto"/>
              </w:rPr>
              <w:t>Fair</w:t>
            </w: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Fair Value Level 3</w:t>
            </w:r>
          </w:p>
        </w:tc>
      </w:tr>
      <w:tr>
        <w:trPr>
          <w:trHeight w:val="149"/>
        </w:trPr>
        <w:tc>
          <w:tcPr>
            <w:tcW w:w="4160" w:type="dxa"/>
            <w:vAlign w:val="bottom"/>
          </w:tcPr>
          <w:p>
            <w:pPr>
              <w:spacing w:after="0"/>
              <w:rPr>
                <w:sz w:val="12"/>
                <w:szCs w:val="12"/>
                <w:color w:val="auto"/>
              </w:rPr>
            </w:pPr>
          </w:p>
        </w:tc>
        <w:tc>
          <w:tcPr>
            <w:tcW w:w="1380" w:type="dxa"/>
            <w:vAlign w:val="bottom"/>
          </w:tcPr>
          <w:p>
            <w:pPr>
              <w:jc w:val="right"/>
              <w:ind w:right="136"/>
              <w:spacing w:after="0"/>
              <w:rPr>
                <w:sz w:val="20"/>
                <w:szCs w:val="20"/>
                <w:color w:val="auto"/>
              </w:rPr>
            </w:pPr>
            <w:r>
              <w:rPr>
                <w:rFonts w:ascii="Arial" w:cs="Arial" w:eastAsia="Arial" w:hAnsi="Arial"/>
                <w:sz w:val="13"/>
                <w:szCs w:val="13"/>
                <w:b w:val="1"/>
                <w:bCs w:val="1"/>
                <w:color w:val="auto"/>
              </w:rPr>
              <w:t>Amount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c>
          <w:tcPr>
            <w:tcW w:w="1340" w:type="dxa"/>
            <w:vAlign w:val="bottom"/>
          </w:tcPr>
          <w:p>
            <w:pPr>
              <w:spacing w:after="0"/>
              <w:rPr>
                <w:sz w:val="12"/>
                <w:szCs w:val="12"/>
                <w:color w:val="auto"/>
              </w:rPr>
            </w:pPr>
          </w:p>
        </w:tc>
        <w:tc>
          <w:tcPr>
            <w:tcW w:w="1200" w:type="dxa"/>
            <w:vAlign w:val="bottom"/>
          </w:tcPr>
          <w:p>
            <w:pPr>
              <w:ind w:left="560"/>
              <w:spacing w:after="0"/>
              <w:rPr>
                <w:sz w:val="20"/>
                <w:szCs w:val="20"/>
                <w:color w:val="auto"/>
              </w:rPr>
            </w:pPr>
            <w:r>
              <w:rPr>
                <w:rFonts w:ascii="Arial" w:cs="Arial" w:eastAsia="Arial" w:hAnsi="Arial"/>
                <w:sz w:val="13"/>
                <w:szCs w:val="13"/>
                <w:color w:val="auto"/>
              </w:rPr>
              <w:t>Amount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Value</w:t>
            </w:r>
          </w:p>
        </w:tc>
        <w:tc>
          <w:tcPr>
            <w:tcW w:w="1100" w:type="dxa"/>
            <w:vAlign w:val="bottom"/>
          </w:tcPr>
          <w:p>
            <w:pPr>
              <w:spacing w:after="0"/>
              <w:rPr>
                <w:sz w:val="12"/>
                <w:szCs w:val="12"/>
                <w:color w:val="auto"/>
              </w:rPr>
            </w:pPr>
          </w:p>
        </w:tc>
      </w:tr>
      <w:tr>
        <w:trPr>
          <w:trHeight w:val="177"/>
        </w:trPr>
        <w:tc>
          <w:tcPr>
            <w:tcW w:w="4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1</w:t>
            </w:r>
          </w:p>
        </w:tc>
        <w:tc>
          <w:tcPr>
            <w:tcW w:w="1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Level 1</w:t>
            </w:r>
          </w:p>
        </w:tc>
        <w:tc>
          <w:tcPr>
            <w:tcW w:w="1100" w:type="dxa"/>
            <w:vAlign w:val="bottom"/>
            <w:tcBorders>
              <w:bottom w:val="single" w:sz="8" w:color="auto"/>
            </w:tcBorders>
          </w:tcPr>
          <w:p>
            <w:pPr>
              <w:spacing w:after="0"/>
              <w:rPr>
                <w:sz w:val="15"/>
                <w:szCs w:val="15"/>
                <w:color w:val="auto"/>
              </w:rPr>
            </w:pPr>
          </w:p>
        </w:tc>
      </w:tr>
      <w:tr>
        <w:trPr>
          <w:trHeight w:val="168"/>
        </w:trPr>
        <w:tc>
          <w:tcPr>
            <w:tcW w:w="41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$’000</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$’000</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69"/>
        </w:trPr>
        <w:tc>
          <w:tcPr>
            <w:tcW w:w="4160" w:type="dxa"/>
            <w:vAlign w:val="bottom"/>
          </w:tcPr>
          <w:p>
            <w:pPr>
              <w:ind w:left="20"/>
              <w:spacing w:after="0"/>
              <w:rPr>
                <w:sz w:val="20"/>
                <w:szCs w:val="20"/>
                <w:color w:val="auto"/>
              </w:rPr>
            </w:pPr>
            <w:r>
              <w:rPr>
                <w:rFonts w:ascii="Arial" w:cs="Arial" w:eastAsia="Arial" w:hAnsi="Arial"/>
                <w:sz w:val="13"/>
                <w:szCs w:val="13"/>
                <w:b w:val="1"/>
                <w:bCs w:val="1"/>
                <w:color w:val="auto"/>
              </w:rPr>
              <w:t>Financial assets measured at fair value</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assets at fair value through other comprehensive income</w:t>
            </w:r>
          </w:p>
        </w:tc>
        <w:tc>
          <w:tcPr>
            <w:tcW w:w="13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1,729</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1,729</w:t>
            </w:r>
          </w:p>
        </w:tc>
        <w:tc>
          <w:tcPr>
            <w:tcW w:w="134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2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49,628</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49,628</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Financial assets at fair value through profit and loss</w:t>
            </w: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15,765</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15,765</w:t>
            </w:r>
          </w:p>
        </w:tc>
        <w:tc>
          <w:tcPr>
            <w:tcW w:w="120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10,053</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10,053</w:t>
            </w:r>
          </w:p>
        </w:tc>
      </w:tr>
      <w:tr>
        <w:trPr>
          <w:trHeight w:val="162"/>
        </w:trPr>
        <w:tc>
          <w:tcPr>
            <w:tcW w:w="4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17,494</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1,729</w:t>
            </w:r>
          </w:p>
        </w:tc>
        <w:tc>
          <w:tcPr>
            <w:tcW w:w="1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15,765</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rPr>
              <w:t>59,681</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49,628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10,053</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carrying values of accounts receivable (less provision for loss), unbilled revenue (contract assets), other current assets, cash and cash equivalents and other non-current assets are carried at amortised cost and assumed to be approximate to their fair values due to the short-term nature of these balances. As such their fair values have not been disclosed.</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Current asset investments carried at fair value result in gains or losses being recognised in the Consolidated Statement of Comprehensive Income. The fair value of current asset investments is their market price at the financial year end date. They are measured on the basis of Level 1 inputs.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Long-term financial assets carried at fair value result in gains or losses being recognised in the Consolidated Statement of Comprehensive Income. The fair value of long-term financial assets meet the definition of equity securities without readily determinable fair values.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80"/>
          </w:cols>
          <w:pgMar w:left="300" w:top="696" w:right="31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Group’s Senior Notes (private placement debt) is carried at $350.0 million (prior to related financing costs). The carrying value at 31 December 2020, closely approximates fair value.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gross obligation under the put option is recorded at the present value of the expected redemption amount which is assumed to approximate fair value.</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The carrying values of accounts payable, accrued and other liabilities and provisions (excluding contingent consideration) and other non-current liabilities are carried at amortised cost and assumed to be approximate to their fair values.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reconciliation from the opening balances to the closing balances for Level 3 fair values: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Contingent</w:t>
            </w:r>
          </w:p>
        </w:tc>
        <w:tc>
          <w:tcPr>
            <w:tcW w:w="1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8"/>
        </w:trPr>
        <w:tc>
          <w:tcPr>
            <w:tcW w:w="3920" w:type="dxa"/>
            <w:vAlign w:val="bottom"/>
            <w:shd w:val="clear" w:color="auto" w:fill="CCEEFF"/>
          </w:tcPr>
          <w:p>
            <w:pPr>
              <w:spacing w:after="0"/>
              <w:rPr>
                <w:sz w:val="11"/>
                <w:szCs w:val="11"/>
                <w:color w:val="auto"/>
              </w:rPr>
            </w:pPr>
          </w:p>
        </w:tc>
        <w:tc>
          <w:tcPr>
            <w:tcW w:w="1420" w:type="dxa"/>
            <w:vAlign w:val="bottom"/>
            <w:shd w:val="clear" w:color="auto" w:fill="CCEEFF"/>
          </w:tcPr>
          <w:p>
            <w:pPr>
              <w:jc w:val="right"/>
              <w:ind w:right="238"/>
              <w:spacing w:after="0"/>
              <w:rPr>
                <w:sz w:val="20"/>
                <w:szCs w:val="20"/>
                <w:color w:val="auto"/>
              </w:rPr>
            </w:pPr>
            <w:r>
              <w:rPr>
                <w:rFonts w:ascii="Arial" w:cs="Arial" w:eastAsia="Arial" w:hAnsi="Arial"/>
                <w:sz w:val="11"/>
                <w:szCs w:val="11"/>
                <w:b w:val="1"/>
                <w:bCs w:val="1"/>
                <w:color w:val="auto"/>
              </w:rPr>
              <w:t>Long-term financial</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consideration</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1"/>
                <w:szCs w:val="11"/>
                <w:b w:val="1"/>
                <w:bCs w:val="1"/>
                <w:color w:val="auto"/>
              </w:rPr>
              <w:t>Gross obligation</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1"/>
                <w:szCs w:val="11"/>
                <w:color w:val="auto"/>
              </w:rPr>
              <w:t>Long-term financial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Contingent Gross obligation under</w:t>
            </w:r>
          </w:p>
        </w:tc>
      </w:tr>
      <w:tr>
        <w:trPr>
          <w:trHeight w:val="160"/>
        </w:trPr>
        <w:tc>
          <w:tcPr>
            <w:tcW w:w="39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1"/>
                <w:szCs w:val="11"/>
                <w:b w:val="1"/>
                <w:bCs w:val="1"/>
                <w:color w:val="auto"/>
              </w:rPr>
              <w:t>assets</w:t>
            </w:r>
          </w:p>
        </w:tc>
        <w:tc>
          <w:tcPr>
            <w:tcW w:w="12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payable</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1"/>
                <w:szCs w:val="11"/>
                <w:b w:val="1"/>
                <w:bCs w:val="1"/>
                <w:color w:val="auto"/>
              </w:rPr>
              <w:t>under put option</w:t>
            </w:r>
          </w:p>
        </w:tc>
        <w:tc>
          <w:tcPr>
            <w:tcW w:w="138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1"/>
                <w:szCs w:val="11"/>
                <w:color w:val="auto"/>
              </w:rPr>
              <w:t>assets</w:t>
            </w:r>
          </w:p>
        </w:tc>
        <w:tc>
          <w:tcPr>
            <w:tcW w:w="134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1"/>
                <w:szCs w:val="11"/>
                <w:color w:val="auto"/>
              </w:rPr>
              <w:t>consideration</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put option</w:t>
            </w:r>
          </w:p>
        </w:tc>
      </w:tr>
      <w:tr>
        <w:trPr>
          <w:trHeight w:val="169"/>
        </w:trPr>
        <w:tc>
          <w:tcPr>
            <w:tcW w:w="39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2020</w:t>
            </w:r>
          </w:p>
        </w:tc>
        <w:tc>
          <w:tcPr>
            <w:tcW w:w="12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2020</w:t>
            </w:r>
          </w:p>
        </w:tc>
        <w:tc>
          <w:tcPr>
            <w:tcW w:w="138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color w:val="auto"/>
              </w:rPr>
              <w:t>2019</w:t>
            </w:r>
          </w:p>
        </w:tc>
        <w:tc>
          <w:tcPr>
            <w:tcW w:w="13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color w:val="auto"/>
              </w:rPr>
              <w:t>2019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r>
      <w:tr>
        <w:trPr>
          <w:trHeight w:val="161"/>
        </w:trPr>
        <w:tc>
          <w:tcPr>
            <w:tcW w:w="39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38"/>
              <w:spacing w:after="0"/>
              <w:rPr>
                <w:sz w:val="20"/>
                <w:szCs w:val="20"/>
                <w:color w:val="auto"/>
              </w:rPr>
            </w:pPr>
            <w:r>
              <w:rPr>
                <w:rFonts w:ascii="Arial" w:cs="Arial" w:eastAsia="Arial" w:hAnsi="Arial"/>
                <w:sz w:val="13"/>
                <w:szCs w:val="13"/>
                <w:b w:val="1"/>
                <w:bCs w:val="1"/>
                <w:color w:val="auto"/>
              </w:rPr>
              <w:t>$’000</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$’000</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3"/>
                <w:szCs w:val="13"/>
                <w:color w:val="auto"/>
              </w:rPr>
              <w:t>$’000</w:t>
            </w:r>
          </w:p>
        </w:tc>
        <w:tc>
          <w:tcPr>
            <w:tcW w:w="134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$’000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59"/>
        </w:trPr>
        <w:tc>
          <w:tcPr>
            <w:tcW w:w="3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0"/>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balance</w:t>
            </w:r>
          </w:p>
        </w:tc>
        <w:tc>
          <w:tcPr>
            <w:tcW w:w="1420" w:type="dxa"/>
            <w:vAlign w:val="bottom"/>
            <w:shd w:val="clear" w:color="auto" w:fill="CCEEFF"/>
          </w:tcPr>
          <w:p>
            <w:pPr>
              <w:jc w:val="right"/>
              <w:ind w:right="298"/>
              <w:spacing w:after="0"/>
              <w:rPr>
                <w:sz w:val="20"/>
                <w:szCs w:val="20"/>
                <w:color w:val="auto"/>
              </w:rPr>
            </w:pPr>
            <w:r>
              <w:rPr>
                <w:rFonts w:ascii="Arial" w:cs="Arial" w:eastAsia="Arial" w:hAnsi="Arial"/>
                <w:sz w:val="13"/>
                <w:szCs w:val="13"/>
                <w:b w:val="1"/>
                <w:bCs w:val="1"/>
                <w:color w:val="auto"/>
              </w:rPr>
              <w:t>10,053</w:t>
            </w:r>
          </w:p>
        </w:tc>
        <w:tc>
          <w:tcPr>
            <w:tcW w:w="1200" w:type="dxa"/>
            <w:vAlign w:val="bottom"/>
            <w:shd w:val="clear" w:color="auto" w:fill="CCEEFF"/>
          </w:tcPr>
          <w:p>
            <w:pPr>
              <w:jc w:val="right"/>
              <w:ind w:right="118"/>
              <w:spacing w:after="0"/>
              <w:rPr>
                <w:sz w:val="20"/>
                <w:szCs w:val="20"/>
                <w:color w:val="auto"/>
              </w:rPr>
            </w:pPr>
            <w:r>
              <w:rPr>
                <w:rFonts w:ascii="Arial" w:cs="Arial" w:eastAsia="Arial" w:hAnsi="Arial"/>
                <w:sz w:val="13"/>
                <w:szCs w:val="13"/>
                <w:b w:val="1"/>
                <w:bCs w:val="1"/>
                <w:color w:val="auto"/>
              </w:rPr>
              <w:t>2,500</w:t>
            </w:r>
          </w:p>
        </w:tc>
        <w:tc>
          <w:tcPr>
            <w:tcW w:w="1140" w:type="dxa"/>
            <w:vAlign w:val="bottom"/>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47,205</w:t>
            </w:r>
          </w:p>
        </w:tc>
        <w:tc>
          <w:tcPr>
            <w:tcW w:w="138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rPr>
              <w:t>6,963</w:t>
            </w:r>
          </w:p>
        </w:tc>
        <w:tc>
          <w:tcPr>
            <w:tcW w:w="134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920" w:type="dxa"/>
            <w:vAlign w:val="bottom"/>
          </w:tcPr>
          <w:p>
            <w:pPr>
              <w:ind w:left="20"/>
              <w:spacing w:after="0"/>
              <w:rPr>
                <w:sz w:val="20"/>
                <w:szCs w:val="20"/>
                <w:color w:val="auto"/>
              </w:rPr>
            </w:pPr>
            <w:r>
              <w:rPr>
                <w:rFonts w:ascii="Arial" w:cs="Arial" w:eastAsia="Arial" w:hAnsi="Arial"/>
                <w:sz w:val="13"/>
                <w:szCs w:val="13"/>
                <w:color w:val="auto"/>
              </w:rPr>
              <w:t>Additions/(payments) made during the year</w:t>
            </w:r>
          </w:p>
        </w:tc>
        <w:tc>
          <w:tcPr>
            <w:tcW w:w="1420" w:type="dxa"/>
            <w:vAlign w:val="bottom"/>
          </w:tcPr>
          <w:p>
            <w:pPr>
              <w:jc w:val="right"/>
              <w:ind w:right="298"/>
              <w:spacing w:after="0"/>
              <w:rPr>
                <w:sz w:val="20"/>
                <w:szCs w:val="20"/>
                <w:color w:val="auto"/>
              </w:rPr>
            </w:pPr>
            <w:r>
              <w:rPr>
                <w:rFonts w:ascii="Arial" w:cs="Arial" w:eastAsia="Arial" w:hAnsi="Arial"/>
                <w:sz w:val="13"/>
                <w:szCs w:val="13"/>
                <w:b w:val="1"/>
                <w:bCs w:val="1"/>
                <w:color w:val="auto"/>
              </w:rPr>
              <w:t>3,212</w:t>
            </w:r>
          </w:p>
        </w:tc>
        <w:tc>
          <w:tcPr>
            <w:tcW w:w="1200" w:type="dxa"/>
            <w:vAlign w:val="bottom"/>
          </w:tcPr>
          <w:p>
            <w:pPr>
              <w:jc w:val="right"/>
              <w:ind w:right="78"/>
              <w:spacing w:after="0"/>
              <w:rPr>
                <w:sz w:val="20"/>
                <w:szCs w:val="20"/>
                <w:color w:val="auto"/>
              </w:rPr>
            </w:pPr>
            <w:r>
              <w:rPr>
                <w:rFonts w:ascii="Arial" w:cs="Arial" w:eastAsia="Arial" w:hAnsi="Arial"/>
                <w:sz w:val="13"/>
                <w:szCs w:val="13"/>
                <w:b w:val="1"/>
                <w:bCs w:val="1"/>
                <w:color w:val="auto"/>
              </w:rPr>
              <w:t>(500)</w:t>
            </w:r>
          </w:p>
        </w:tc>
        <w:tc>
          <w:tcPr>
            <w:tcW w:w="1140" w:type="dxa"/>
            <w:vAlign w:val="bottom"/>
          </w:tcPr>
          <w:p>
            <w:pPr>
              <w:jc w:val="right"/>
              <w:ind w:right="58"/>
              <w:spacing w:after="0"/>
              <w:rPr>
                <w:sz w:val="20"/>
                <w:szCs w:val="20"/>
                <w:color w:val="auto"/>
              </w:rPr>
            </w:pPr>
            <w:r>
              <w:rPr>
                <w:rFonts w:ascii="Arial" w:cs="Arial" w:eastAsia="Arial" w:hAnsi="Arial"/>
                <w:sz w:val="13"/>
                <w:szCs w:val="13"/>
                <w:b w:val="1"/>
                <w:bCs w:val="1"/>
                <w:color w:val="auto"/>
              </w:rPr>
              <w:t>(43,923)</w:t>
            </w:r>
          </w:p>
        </w:tc>
        <w:tc>
          <w:tcPr>
            <w:tcW w:w="1380" w:type="dxa"/>
            <w:vAlign w:val="bottom"/>
          </w:tcPr>
          <w:p>
            <w:pPr>
              <w:jc w:val="right"/>
              <w:ind w:right="298"/>
              <w:spacing w:after="0"/>
              <w:rPr>
                <w:sz w:val="20"/>
                <w:szCs w:val="20"/>
                <w:color w:val="auto"/>
              </w:rPr>
            </w:pPr>
            <w:r>
              <w:rPr>
                <w:rFonts w:ascii="Arial" w:cs="Arial" w:eastAsia="Arial" w:hAnsi="Arial"/>
                <w:sz w:val="13"/>
                <w:szCs w:val="13"/>
                <w:color w:val="auto"/>
              </w:rPr>
              <w:t>3,890</w:t>
            </w:r>
          </w:p>
        </w:tc>
        <w:tc>
          <w:tcPr>
            <w:tcW w:w="1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0"/>
        </w:trPr>
        <w:tc>
          <w:tcPr>
            <w:tcW w:w="39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w w:val="99"/>
              </w:rPr>
              <w:t>Contingent consideration in respect of a business combination (note</w:t>
            </w:r>
          </w:p>
        </w:tc>
        <w:tc>
          <w:tcPr>
            <w:tcW w:w="1420" w:type="dxa"/>
            <w:vAlign w:val="bottom"/>
            <w:shd w:val="clear" w:color="auto" w:fill="CCEEFF"/>
          </w:tcPr>
          <w:p>
            <w:pPr>
              <w:jc w:val="right"/>
              <w:ind w:right="298"/>
              <w:spacing w:after="0" w:line="140" w:lineRule="exact"/>
              <w:rPr>
                <w:sz w:val="20"/>
                <w:szCs w:val="20"/>
                <w:color w:val="auto"/>
              </w:rPr>
            </w:pPr>
            <w:r>
              <w:rPr>
                <w:rFonts w:ascii="Arial" w:cs="Arial" w:eastAsia="Arial" w:hAnsi="Arial"/>
                <w:sz w:val="13"/>
                <w:szCs w:val="13"/>
                <w:b w:val="1"/>
                <w:bCs w:val="1"/>
                <w:color w:val="auto"/>
              </w:rPr>
              <w:t>—</w:t>
            </w:r>
          </w:p>
        </w:tc>
        <w:tc>
          <w:tcPr>
            <w:tcW w:w="1200" w:type="dxa"/>
            <w:vAlign w:val="bottom"/>
            <w:shd w:val="clear" w:color="auto" w:fill="CCEEFF"/>
          </w:tcPr>
          <w:p>
            <w:pPr>
              <w:jc w:val="right"/>
              <w:ind w:right="118"/>
              <w:spacing w:after="0" w:line="140" w:lineRule="exact"/>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78"/>
              <w:spacing w:after="0" w:line="140" w:lineRule="exact"/>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CCEEFF"/>
          </w:tcPr>
          <w:p>
            <w:pPr>
              <w:jc w:val="right"/>
              <w:ind w:right="298"/>
              <w:spacing w:after="0" w:line="140"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18"/>
              <w:spacing w:after="0" w:line="140" w:lineRule="exact"/>
              <w:rPr>
                <w:sz w:val="20"/>
                <w:szCs w:val="20"/>
                <w:color w:val="auto"/>
              </w:rPr>
            </w:pPr>
            <w:r>
              <w:rPr>
                <w:rFonts w:ascii="Arial" w:cs="Arial" w:eastAsia="Arial" w:hAnsi="Arial"/>
                <w:sz w:val="13"/>
                <w:szCs w:val="13"/>
                <w:color w:val="auto"/>
              </w:rPr>
              <w:t>2,500</w:t>
            </w:r>
          </w:p>
        </w:tc>
        <w:tc>
          <w:tcPr>
            <w:tcW w:w="8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r>
      <w:tr>
        <w:trPr>
          <w:trHeight w:val="158"/>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14)</w:t>
            </w:r>
          </w:p>
        </w:tc>
        <w:tc>
          <w:tcPr>
            <w:tcW w:w="14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9"/>
        </w:trPr>
        <w:tc>
          <w:tcPr>
            <w:tcW w:w="3920" w:type="dxa"/>
            <w:vAlign w:val="bottom"/>
          </w:tcPr>
          <w:p>
            <w:pPr>
              <w:ind w:left="20"/>
              <w:spacing w:after="0"/>
              <w:rPr>
                <w:sz w:val="20"/>
                <w:szCs w:val="20"/>
                <w:color w:val="auto"/>
              </w:rPr>
            </w:pPr>
            <w:r>
              <w:rPr>
                <w:rFonts w:ascii="Arial" w:cs="Arial" w:eastAsia="Arial" w:hAnsi="Arial"/>
                <w:sz w:val="13"/>
                <w:szCs w:val="13"/>
                <w:color w:val="auto"/>
              </w:rPr>
              <w:t>Put option in noncontrolling interest shares</w:t>
            </w:r>
          </w:p>
        </w:tc>
        <w:tc>
          <w:tcPr>
            <w:tcW w:w="1420" w:type="dxa"/>
            <w:vAlign w:val="bottom"/>
          </w:tcPr>
          <w:p>
            <w:pPr>
              <w:jc w:val="right"/>
              <w:ind w:right="298"/>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ind w:right="118"/>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78"/>
              <w:spacing w:after="0"/>
              <w:rPr>
                <w:sz w:val="20"/>
                <w:szCs w:val="20"/>
                <w:color w:val="auto"/>
              </w:rPr>
            </w:pPr>
            <w:r>
              <w:rPr>
                <w:rFonts w:ascii="Arial" w:cs="Arial" w:eastAsia="Arial" w:hAnsi="Arial"/>
                <w:sz w:val="13"/>
                <w:szCs w:val="13"/>
                <w:b w:val="1"/>
                <w:bCs w:val="1"/>
                <w:color w:val="auto"/>
              </w:rPr>
              <w:t>—</w:t>
            </w:r>
          </w:p>
        </w:tc>
        <w:tc>
          <w:tcPr>
            <w:tcW w:w="1380" w:type="dxa"/>
            <w:vAlign w:val="bottom"/>
          </w:tcPr>
          <w:p>
            <w:pPr>
              <w:jc w:val="right"/>
              <w:ind w:right="298"/>
              <w:spacing w:after="0"/>
              <w:rPr>
                <w:sz w:val="20"/>
                <w:szCs w:val="20"/>
                <w:color w:val="auto"/>
              </w:rPr>
            </w:pPr>
            <w:r>
              <w:rPr>
                <w:rFonts w:ascii="Arial" w:cs="Arial" w:eastAsia="Arial" w:hAnsi="Arial"/>
                <w:sz w:val="13"/>
                <w:szCs w:val="13"/>
                <w:b w:val="1"/>
                <w:bCs w:val="1"/>
                <w:color w:val="auto"/>
              </w:rPr>
              <w:t>—</w:t>
            </w:r>
          </w:p>
        </w:tc>
        <w:tc>
          <w:tcPr>
            <w:tcW w:w="1340" w:type="dxa"/>
            <w:vAlign w:val="bottom"/>
          </w:tcPr>
          <w:p>
            <w:pPr>
              <w:jc w:val="right"/>
              <w:ind w:right="318"/>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38,482</w:t>
            </w:r>
          </w:p>
        </w:tc>
      </w:tr>
      <w:tr>
        <w:trPr>
          <w:trHeight w:val="170"/>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gain/(loss) to the Statement of Comprehensive Income</w:t>
            </w:r>
          </w:p>
        </w:tc>
        <w:tc>
          <w:tcPr>
            <w:tcW w:w="1420" w:type="dxa"/>
            <w:vAlign w:val="bottom"/>
            <w:shd w:val="clear" w:color="auto" w:fill="CCEEFF"/>
          </w:tcPr>
          <w:p>
            <w:pPr>
              <w:jc w:val="right"/>
              <w:ind w:right="298"/>
              <w:spacing w:after="0"/>
              <w:rPr>
                <w:sz w:val="20"/>
                <w:szCs w:val="20"/>
                <w:color w:val="auto"/>
              </w:rPr>
            </w:pPr>
            <w:r>
              <w:rPr>
                <w:rFonts w:ascii="Arial" w:cs="Arial" w:eastAsia="Arial" w:hAnsi="Arial"/>
                <w:sz w:val="13"/>
                <w:szCs w:val="13"/>
                <w:b w:val="1"/>
                <w:bCs w:val="1"/>
                <w:color w:val="auto"/>
              </w:rPr>
              <w:t>2,500</w:t>
            </w:r>
          </w:p>
        </w:tc>
        <w:tc>
          <w:tcPr>
            <w:tcW w:w="1200" w:type="dxa"/>
            <w:vAlign w:val="bottom"/>
            <w:shd w:val="clear" w:color="auto" w:fill="CCEEFF"/>
          </w:tcPr>
          <w:p>
            <w:pPr>
              <w:jc w:val="right"/>
              <w:ind w:right="118"/>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(800)</w:t>
            </w:r>
          </w:p>
        </w:tc>
        <w:tc>
          <w:tcPr>
            <w:tcW w:w="134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(Credit)/ charge to the Statement of Profit and Loss</w:t>
            </w:r>
          </w:p>
        </w:tc>
        <w:tc>
          <w:tcPr>
            <w:tcW w:w="142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(2,000)</w:t>
            </w: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(3,282)</w:t>
            </w:r>
          </w:p>
        </w:tc>
        <w:tc>
          <w:tcPr>
            <w:tcW w:w="138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8,723</w:t>
            </w:r>
          </w:p>
        </w:tc>
      </w:tr>
      <w:tr>
        <w:trPr>
          <w:trHeight w:val="162"/>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Closing balance</w:t>
            </w:r>
          </w:p>
        </w:tc>
        <w:tc>
          <w:tcPr>
            <w:tcW w:w="142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3"/>
                <w:szCs w:val="13"/>
                <w:b w:val="1"/>
                <w:bCs w:val="1"/>
                <w:color w:val="auto"/>
              </w:rPr>
              <w:t>15,765</w:t>
            </w:r>
          </w:p>
        </w:tc>
        <w:tc>
          <w:tcPr>
            <w:tcW w:w="12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3"/>
                <w:szCs w:val="13"/>
                <w:color w:val="auto"/>
              </w:rPr>
              <w:t>10,053</w:t>
            </w:r>
          </w:p>
        </w:tc>
        <w:tc>
          <w:tcPr>
            <w:tcW w:w="134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2,500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47,205</w:t>
            </w:r>
          </w:p>
        </w:tc>
      </w:tr>
    </w:tbl>
    <w:p>
      <w:pPr>
        <w:spacing w:after="0" w:line="26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 is also subject to call and put option arrangements relating to the 51% majority share capital in the equity method investment, Oncacare, currently owned by a third-party. The majority investor has the right to sell the 51% majority voting share capital exclusively to the Company in an eighteen month period, commencing 1 January 2023 and ICON also has the right to acquire the 51% majority voting share capital from August 1, 2025. These option arrangements are considered level 3 financial instruments due to it being necessary to use unobservable inputs in their valuation. The strike price of the options was written to closely approximate fair value so at year end 31 December 2020, the value of the options was considered close to zero given the short time that has passed between the writing of the options and year end.</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transfers between level 1/2 financial instruments and level 3 financial instruments during the current or prior financial year.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80"/>
          </w:cols>
          <w:pgMar w:left="300" w:top="696" w:right="3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1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valuation techniques used in measuring Level 3 fair values, as well as significant unobservable inputs used:</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780" w:type="dxa"/>
            <w:vAlign w:val="bottom"/>
            <w:tcBorders>
              <w:top w:val="single" w:sz="8" w:color="auto"/>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Type</w:t>
            </w:r>
          </w:p>
        </w:tc>
        <w:tc>
          <w:tcPr>
            <w:tcW w:w="2460" w:type="dxa"/>
            <w:vAlign w:val="bottom"/>
            <w:tcBorders>
              <w:top w:val="single" w:sz="8" w:color="auto"/>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Valuation Technique</w:t>
            </w:r>
          </w:p>
        </w:tc>
        <w:tc>
          <w:tcPr>
            <w:tcW w:w="2620" w:type="dxa"/>
            <w:vAlign w:val="bottom"/>
            <w:tcBorders>
              <w:top w:val="single" w:sz="8" w:color="auto"/>
              <w:right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Significant Unobservable Inputs</w:t>
            </w:r>
          </w:p>
        </w:tc>
        <w:tc>
          <w:tcPr>
            <w:tcW w:w="3420" w:type="dxa"/>
            <w:vAlign w:val="bottom"/>
            <w:tcBorders>
              <w:top w:val="single" w:sz="8" w:color="auto"/>
              <w:right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Inter-relationship between significant unobservable</w:t>
            </w:r>
          </w:p>
        </w:tc>
        <w:tc>
          <w:tcPr>
            <w:tcW w:w="0" w:type="dxa"/>
            <w:vAlign w:val="bottom"/>
          </w:tcPr>
          <w:p>
            <w:pPr>
              <w:spacing w:after="0"/>
              <w:rPr>
                <w:sz w:val="1"/>
                <w:szCs w:val="1"/>
                <w:color w:val="auto"/>
              </w:rPr>
            </w:pPr>
          </w:p>
        </w:tc>
      </w:tr>
      <w:tr>
        <w:trPr>
          <w:trHeight w:val="169"/>
        </w:trPr>
        <w:tc>
          <w:tcPr>
            <w:tcW w:w="2780" w:type="dxa"/>
            <w:vAlign w:val="bottom"/>
            <w:tcBorders>
              <w:left w:val="single" w:sz="8" w:color="auto"/>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inputs and fair value measurement</w:t>
            </w:r>
          </w:p>
        </w:tc>
        <w:tc>
          <w:tcPr>
            <w:tcW w:w="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color w:val="auto"/>
              </w:rPr>
              <w:t>Long-term financial assets</w:t>
            </w:r>
          </w:p>
        </w:tc>
        <w:tc>
          <w:tcPr>
            <w:tcW w:w="2460" w:type="dxa"/>
            <w:vAlign w:val="bottom"/>
            <w:tcBorders>
              <w:right w:val="single" w:sz="8" w:color="auto"/>
            </w:tcBorders>
          </w:tcPr>
          <w:p>
            <w:pPr>
              <w:spacing w:after="0" w:line="131" w:lineRule="exact"/>
              <w:rPr>
                <w:sz w:val="20"/>
                <w:szCs w:val="20"/>
                <w:color w:val="auto"/>
              </w:rPr>
            </w:pPr>
            <w:r>
              <w:rPr>
                <w:rFonts w:ascii="Arial" w:cs="Arial" w:eastAsia="Arial" w:hAnsi="Arial"/>
                <w:sz w:val="13"/>
                <w:szCs w:val="13"/>
                <w:color w:val="auto"/>
              </w:rPr>
              <w:t>The valuation model is based on the NAV</w:t>
            </w:r>
          </w:p>
        </w:tc>
        <w:tc>
          <w:tcPr>
            <w:tcW w:w="2620" w:type="dxa"/>
            <w:vAlign w:val="bottom"/>
            <w:tcBorders>
              <w:right w:val="single" w:sz="8" w:color="auto"/>
            </w:tcBorders>
            <w:gridSpan w:val="2"/>
          </w:tcPr>
          <w:p>
            <w:pPr>
              <w:spacing w:after="0" w:line="131" w:lineRule="exact"/>
              <w:rPr>
                <w:sz w:val="20"/>
                <w:szCs w:val="20"/>
                <w:color w:val="auto"/>
              </w:rPr>
            </w:pPr>
            <w:r>
              <w:rPr>
                <w:rFonts w:ascii="Arial" w:cs="Arial" w:eastAsia="Arial" w:hAnsi="Arial"/>
                <w:sz w:val="13"/>
                <w:szCs w:val="13"/>
                <w:color w:val="auto"/>
                <w:w w:val="99"/>
              </w:rPr>
              <w:t>The interest on the fund are not traded on an</w:t>
            </w:r>
          </w:p>
        </w:tc>
        <w:tc>
          <w:tcPr>
            <w:tcW w:w="3420" w:type="dxa"/>
            <w:vAlign w:val="bottom"/>
            <w:tcBorders>
              <w:right w:val="single" w:sz="8" w:color="auto"/>
            </w:tcBorders>
            <w:gridSpan w:val="2"/>
          </w:tcPr>
          <w:p>
            <w:pPr>
              <w:spacing w:after="0" w:line="131" w:lineRule="exact"/>
              <w:rPr>
                <w:sz w:val="20"/>
                <w:szCs w:val="20"/>
                <w:color w:val="auto"/>
              </w:rPr>
            </w:pPr>
            <w:r>
              <w:rPr>
                <w:rFonts w:ascii="Arial" w:cs="Arial" w:eastAsia="Arial" w:hAnsi="Arial"/>
                <w:sz w:val="13"/>
                <w:szCs w:val="13"/>
                <w:color w:val="auto"/>
                <w:w w:val="99"/>
              </w:rPr>
              <w:t>The valuation is based on the NAV of the fund as prepared</w:t>
            </w:r>
          </w:p>
        </w:tc>
        <w:tc>
          <w:tcPr>
            <w:tcW w:w="0" w:type="dxa"/>
            <w:vAlign w:val="bottom"/>
          </w:tcPr>
          <w:p>
            <w:pPr>
              <w:spacing w:after="0"/>
              <w:rPr>
                <w:sz w:val="1"/>
                <w:szCs w:val="1"/>
                <w:color w:val="auto"/>
              </w:rPr>
            </w:pPr>
          </w:p>
        </w:tc>
      </w:tr>
      <w:tr>
        <w:trPr>
          <w:trHeight w:val="147"/>
        </w:trPr>
        <w:tc>
          <w:tcPr>
            <w:tcW w:w="278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line="148" w:lineRule="exact"/>
              <w:rPr>
                <w:sz w:val="20"/>
                <w:szCs w:val="20"/>
                <w:color w:val="auto"/>
              </w:rPr>
            </w:pPr>
            <w:r>
              <w:rPr>
                <w:rFonts w:ascii="Arial" w:cs="Arial" w:eastAsia="Arial" w:hAnsi="Arial"/>
                <w:sz w:val="13"/>
                <w:szCs w:val="13"/>
                <w:color w:val="auto"/>
                <w:w w:val="98"/>
              </w:rPr>
              <w:t>of the fund as prepared by an independent</w:t>
            </w:r>
          </w:p>
        </w:tc>
        <w:tc>
          <w:tcPr>
            <w:tcW w:w="262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color w:val="auto"/>
                <w:w w:val="99"/>
              </w:rPr>
              <w:t>exchange, or data is not published in respect</w:t>
            </w:r>
          </w:p>
        </w:tc>
        <w:tc>
          <w:tcPr>
            <w:tcW w:w="2500" w:type="dxa"/>
            <w:vAlign w:val="bottom"/>
          </w:tcPr>
          <w:p>
            <w:pPr>
              <w:spacing w:after="0" w:line="148" w:lineRule="exact"/>
              <w:rPr>
                <w:sz w:val="20"/>
                <w:szCs w:val="20"/>
                <w:color w:val="auto"/>
              </w:rPr>
            </w:pPr>
            <w:r>
              <w:rPr>
                <w:rFonts w:ascii="Arial" w:cs="Arial" w:eastAsia="Arial" w:hAnsi="Arial"/>
                <w:sz w:val="13"/>
                <w:szCs w:val="13"/>
                <w:color w:val="auto"/>
              </w:rPr>
              <w:t>by an independent appraiser.</w:t>
            </w: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8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spacing w:after="0" w:line="108" w:lineRule="exact"/>
              <w:rPr>
                <w:sz w:val="20"/>
                <w:szCs w:val="20"/>
                <w:color w:val="auto"/>
              </w:rPr>
            </w:pPr>
            <w:r>
              <w:rPr>
                <w:rFonts w:ascii="Arial" w:cs="Arial" w:eastAsia="Arial" w:hAnsi="Arial"/>
                <w:sz w:val="12"/>
                <w:szCs w:val="12"/>
                <w:color w:val="auto"/>
              </w:rPr>
              <w:t>appraiser to prepare a fair value</w:t>
            </w:r>
          </w:p>
        </w:tc>
        <w:tc>
          <w:tcPr>
            <w:tcW w:w="1300" w:type="dxa"/>
            <w:vAlign w:val="bottom"/>
            <w:vMerge w:val="restart"/>
          </w:tcPr>
          <w:p>
            <w:pPr>
              <w:spacing w:after="0"/>
              <w:rPr>
                <w:sz w:val="20"/>
                <w:szCs w:val="20"/>
                <w:color w:val="auto"/>
              </w:rPr>
            </w:pPr>
            <w:r>
              <w:rPr>
                <w:rFonts w:ascii="Arial" w:cs="Arial" w:eastAsia="Arial" w:hAnsi="Arial"/>
                <w:sz w:val="13"/>
                <w:szCs w:val="13"/>
                <w:color w:val="auto"/>
              </w:rPr>
              <w:t>of the funds.</w:t>
            </w:r>
          </w:p>
        </w:tc>
        <w:tc>
          <w:tcPr>
            <w:tcW w:w="1320" w:type="dxa"/>
            <w:vAlign w:val="bottom"/>
            <w:tcBorders>
              <w:right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780" w:type="dxa"/>
            <w:vAlign w:val="bottom"/>
            <w:tcBorders>
              <w:left w:val="single" w:sz="8" w:color="auto"/>
              <w:right w:val="single" w:sz="8" w:color="auto"/>
            </w:tcBorders>
          </w:tcPr>
          <w:p>
            <w:pPr>
              <w:spacing w:after="0"/>
              <w:rPr>
                <w:sz w:val="6"/>
                <w:szCs w:val="6"/>
                <w:color w:val="auto"/>
              </w:rPr>
            </w:pPr>
          </w:p>
        </w:tc>
        <w:tc>
          <w:tcPr>
            <w:tcW w:w="2460" w:type="dxa"/>
            <w:vAlign w:val="bottom"/>
            <w:tcBorders>
              <w:right w:val="single" w:sz="8" w:color="auto"/>
            </w:tcBorders>
            <w:vMerge w:val="restart"/>
          </w:tcPr>
          <w:p>
            <w:pPr>
              <w:spacing w:after="0" w:line="128" w:lineRule="exact"/>
              <w:rPr>
                <w:sz w:val="20"/>
                <w:szCs w:val="20"/>
                <w:color w:val="auto"/>
              </w:rPr>
            </w:pPr>
            <w:r>
              <w:rPr>
                <w:rFonts w:ascii="Arial" w:cs="Arial" w:eastAsia="Arial" w:hAnsi="Arial"/>
                <w:sz w:val="13"/>
                <w:szCs w:val="13"/>
                <w:color w:val="auto"/>
              </w:rPr>
              <w:t>assessment of investment assets each</w:t>
            </w:r>
          </w:p>
        </w:tc>
        <w:tc>
          <w:tcPr>
            <w:tcW w:w="1300" w:type="dxa"/>
            <w:vAlign w:val="bottom"/>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2500" w:type="dxa"/>
            <w:vAlign w:val="bottom"/>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780" w:type="dxa"/>
            <w:vAlign w:val="bottom"/>
            <w:tcBorders>
              <w:left w:val="single" w:sz="8" w:color="auto"/>
              <w:right w:val="single" w:sz="8" w:color="auto"/>
            </w:tcBorders>
          </w:tcPr>
          <w:p>
            <w:pPr>
              <w:spacing w:after="0"/>
              <w:rPr>
                <w:sz w:val="4"/>
                <w:szCs w:val="4"/>
                <w:color w:val="auto"/>
              </w:rPr>
            </w:pPr>
          </w:p>
        </w:tc>
        <w:tc>
          <w:tcPr>
            <w:tcW w:w="2460" w:type="dxa"/>
            <w:vAlign w:val="bottom"/>
            <w:tcBorders>
              <w:right w:val="single" w:sz="8" w:color="auto"/>
            </w:tcBorders>
            <w:vMerge w:val="continue"/>
          </w:tcPr>
          <w:p>
            <w:pPr>
              <w:spacing w:after="0"/>
              <w:rPr>
                <w:sz w:val="4"/>
                <w:szCs w:val="4"/>
                <w:color w:val="auto"/>
              </w:rPr>
            </w:pPr>
          </w:p>
        </w:tc>
        <w:tc>
          <w:tcPr>
            <w:tcW w:w="1300" w:type="dxa"/>
            <w:vAlign w:val="bottom"/>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250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780" w:type="dxa"/>
            <w:vAlign w:val="bottom"/>
            <w:tcBorders>
              <w:left w:val="single" w:sz="8" w:color="auto"/>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year.</w:t>
            </w:r>
          </w:p>
        </w:tc>
        <w:tc>
          <w:tcPr>
            <w:tcW w:w="130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8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3"/>
                <w:szCs w:val="13"/>
                <w:color w:val="auto"/>
              </w:rPr>
              <w:t>Call and put option arrangements over 51%</w:t>
            </w:r>
          </w:p>
        </w:tc>
        <w:tc>
          <w:tcPr>
            <w:tcW w:w="2460" w:type="dxa"/>
            <w:vAlign w:val="bottom"/>
            <w:tcBorders>
              <w:right w:val="single" w:sz="8" w:color="auto"/>
            </w:tcBorders>
          </w:tcPr>
          <w:p>
            <w:pPr>
              <w:spacing w:after="0" w:line="133" w:lineRule="exact"/>
              <w:rPr>
                <w:sz w:val="20"/>
                <w:szCs w:val="20"/>
                <w:color w:val="auto"/>
              </w:rPr>
            </w:pPr>
            <w:r>
              <w:rPr>
                <w:rFonts w:ascii="Arial" w:cs="Arial" w:eastAsia="Arial" w:hAnsi="Arial"/>
                <w:sz w:val="13"/>
                <w:szCs w:val="13"/>
                <w:color w:val="auto"/>
              </w:rPr>
              <w:t>The valuation model is based on the</w:t>
            </w:r>
          </w:p>
        </w:tc>
        <w:tc>
          <w:tcPr>
            <w:tcW w:w="2620" w:type="dxa"/>
            <w:vAlign w:val="bottom"/>
            <w:tcBorders>
              <w:right w:val="single" w:sz="8" w:color="auto"/>
            </w:tcBorders>
            <w:gridSpan w:val="2"/>
          </w:tcPr>
          <w:p>
            <w:pPr>
              <w:spacing w:after="0" w:line="133" w:lineRule="exact"/>
              <w:rPr>
                <w:sz w:val="20"/>
                <w:szCs w:val="20"/>
                <w:color w:val="auto"/>
              </w:rPr>
            </w:pPr>
            <w:r>
              <w:rPr>
                <w:rFonts w:ascii="Arial" w:cs="Arial" w:eastAsia="Arial" w:hAnsi="Arial"/>
                <w:sz w:val="13"/>
                <w:szCs w:val="13"/>
                <w:color w:val="auto"/>
              </w:rPr>
              <w:t>The strike price of the options are based on</w:t>
            </w:r>
          </w:p>
        </w:tc>
        <w:tc>
          <w:tcPr>
            <w:tcW w:w="3420" w:type="dxa"/>
            <w:vAlign w:val="bottom"/>
            <w:tcBorders>
              <w:right w:val="single" w:sz="8" w:color="auto"/>
            </w:tcBorders>
            <w:gridSpan w:val="2"/>
          </w:tcPr>
          <w:p>
            <w:pPr>
              <w:spacing w:after="0" w:line="133" w:lineRule="exact"/>
              <w:rPr>
                <w:sz w:val="20"/>
                <w:szCs w:val="20"/>
                <w:color w:val="auto"/>
              </w:rPr>
            </w:pPr>
            <w:r>
              <w:rPr>
                <w:rFonts w:ascii="Arial" w:cs="Arial" w:eastAsia="Arial" w:hAnsi="Arial"/>
                <w:sz w:val="13"/>
                <w:szCs w:val="13"/>
                <w:color w:val="auto"/>
              </w:rPr>
              <w:t>If the earnings multiple became less than the market rate</w:t>
            </w:r>
          </w:p>
        </w:tc>
        <w:tc>
          <w:tcPr>
            <w:tcW w:w="0" w:type="dxa"/>
            <w:vAlign w:val="bottom"/>
          </w:tcPr>
          <w:p>
            <w:pPr>
              <w:spacing w:after="0"/>
              <w:rPr>
                <w:sz w:val="1"/>
                <w:szCs w:val="1"/>
                <w:color w:val="auto"/>
              </w:rPr>
            </w:pPr>
          </w:p>
        </w:tc>
      </w:tr>
      <w:tr>
        <w:trPr>
          <w:trHeight w:val="127"/>
        </w:trPr>
        <w:tc>
          <w:tcPr>
            <w:tcW w:w="278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majority share ownership in Oncacare</w:t>
            </w: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financial benefit/obligation of the Group</w:t>
            </w:r>
          </w:p>
        </w:tc>
        <w:tc>
          <w:tcPr>
            <w:tcW w:w="2620" w:type="dxa"/>
            <w:vAlign w:val="bottom"/>
            <w:tcBorders>
              <w:right w:val="single" w:sz="8" w:color="auto"/>
            </w:tcBorders>
            <w:gridSpan w:val="2"/>
          </w:tcPr>
          <w:p>
            <w:pPr>
              <w:spacing w:after="0" w:line="128" w:lineRule="exact"/>
              <w:rPr>
                <w:sz w:val="20"/>
                <w:szCs w:val="20"/>
                <w:color w:val="auto"/>
              </w:rPr>
            </w:pPr>
            <w:r>
              <w:rPr>
                <w:rFonts w:ascii="Arial" w:cs="Arial" w:eastAsia="Arial" w:hAnsi="Arial"/>
                <w:sz w:val="13"/>
                <w:szCs w:val="13"/>
                <w:color w:val="auto"/>
              </w:rPr>
              <w:t>an earnings multiple which is a significant</w:t>
            </w:r>
          </w:p>
        </w:tc>
        <w:tc>
          <w:tcPr>
            <w:tcW w:w="3420" w:type="dxa"/>
            <w:vAlign w:val="bottom"/>
            <w:tcBorders>
              <w:right w:val="single" w:sz="8" w:color="auto"/>
            </w:tcBorders>
            <w:gridSpan w:val="2"/>
          </w:tcPr>
          <w:p>
            <w:pPr>
              <w:spacing w:after="0" w:line="128" w:lineRule="exact"/>
              <w:rPr>
                <w:sz w:val="20"/>
                <w:szCs w:val="20"/>
                <w:color w:val="auto"/>
              </w:rPr>
            </w:pPr>
            <w:r>
              <w:rPr>
                <w:rFonts w:ascii="Arial" w:cs="Arial" w:eastAsia="Arial" w:hAnsi="Arial"/>
                <w:sz w:val="13"/>
                <w:szCs w:val="13"/>
                <w:color w:val="auto"/>
              </w:rPr>
              <w:t>then the fair value of the call option asset would increase</w:t>
            </w:r>
          </w:p>
        </w:tc>
        <w:tc>
          <w:tcPr>
            <w:tcW w:w="0" w:type="dxa"/>
            <w:vAlign w:val="bottom"/>
          </w:tcPr>
          <w:p>
            <w:pPr>
              <w:spacing w:after="0"/>
              <w:rPr>
                <w:sz w:val="1"/>
                <w:szCs w:val="1"/>
                <w:color w:val="auto"/>
              </w:rPr>
            </w:pP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possessing the option to acquire, or being</w:t>
            </w:r>
          </w:p>
        </w:tc>
        <w:tc>
          <w:tcPr>
            <w:tcW w:w="2620" w:type="dxa"/>
            <w:vAlign w:val="bottom"/>
            <w:tcBorders>
              <w:right w:val="single" w:sz="8" w:color="auto"/>
            </w:tcBorders>
            <w:gridSpan w:val="2"/>
          </w:tcPr>
          <w:p>
            <w:pPr>
              <w:spacing w:after="0" w:line="128" w:lineRule="exact"/>
              <w:rPr>
                <w:sz w:val="20"/>
                <w:szCs w:val="20"/>
                <w:color w:val="auto"/>
              </w:rPr>
            </w:pPr>
            <w:r>
              <w:rPr>
                <w:rFonts w:ascii="Arial" w:cs="Arial" w:eastAsia="Arial" w:hAnsi="Arial"/>
                <w:sz w:val="13"/>
                <w:szCs w:val="13"/>
                <w:color w:val="auto"/>
              </w:rPr>
              <w:t>unobservable input to the fair value</w:t>
            </w:r>
          </w:p>
        </w:tc>
        <w:tc>
          <w:tcPr>
            <w:tcW w:w="3420" w:type="dxa"/>
            <w:vAlign w:val="bottom"/>
            <w:tcBorders>
              <w:right w:val="single" w:sz="8" w:color="auto"/>
            </w:tcBorders>
            <w:gridSpan w:val="2"/>
          </w:tcPr>
          <w:p>
            <w:pPr>
              <w:spacing w:after="0" w:line="128" w:lineRule="exact"/>
              <w:rPr>
                <w:sz w:val="20"/>
                <w:szCs w:val="20"/>
                <w:color w:val="auto"/>
              </w:rPr>
            </w:pPr>
            <w:r>
              <w:rPr>
                <w:rFonts w:ascii="Arial" w:cs="Arial" w:eastAsia="Arial" w:hAnsi="Arial"/>
                <w:sz w:val="13"/>
                <w:szCs w:val="13"/>
                <w:color w:val="auto"/>
              </w:rPr>
              <w:t>and the fair value of put option liability would decrease.</w:t>
            </w:r>
          </w:p>
        </w:tc>
        <w:tc>
          <w:tcPr>
            <w:tcW w:w="0" w:type="dxa"/>
            <w:vAlign w:val="bottom"/>
          </w:tcPr>
          <w:p>
            <w:pPr>
              <w:spacing w:after="0"/>
              <w:rPr>
                <w:sz w:val="1"/>
                <w:szCs w:val="1"/>
                <w:color w:val="auto"/>
              </w:rPr>
            </w:pP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faced with the option to purchase, the</w:t>
            </w:r>
          </w:p>
        </w:tc>
        <w:tc>
          <w:tcPr>
            <w:tcW w:w="1300" w:type="dxa"/>
            <w:vAlign w:val="bottom"/>
          </w:tcPr>
          <w:p>
            <w:pPr>
              <w:spacing w:after="0" w:line="128" w:lineRule="exact"/>
              <w:rPr>
                <w:sz w:val="20"/>
                <w:szCs w:val="20"/>
                <w:color w:val="auto"/>
              </w:rPr>
            </w:pPr>
            <w:r>
              <w:rPr>
                <w:rFonts w:ascii="Arial" w:cs="Arial" w:eastAsia="Arial" w:hAnsi="Arial"/>
                <w:sz w:val="13"/>
                <w:szCs w:val="13"/>
                <w:color w:val="auto"/>
              </w:rPr>
              <w:t>calculation.</w:t>
            </w:r>
          </w:p>
        </w:tc>
        <w:tc>
          <w:tcPr>
            <w:tcW w:w="1320" w:type="dxa"/>
            <w:vAlign w:val="bottom"/>
            <w:tcBorders>
              <w:right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shares compared to acquiring the shares</w:t>
            </w:r>
          </w:p>
        </w:tc>
        <w:tc>
          <w:tcPr>
            <w:tcW w:w="13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80" w:type="dxa"/>
            <w:vAlign w:val="bottom"/>
            <w:tcBorders>
              <w:left w:val="single" w:sz="8" w:color="auto"/>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at the market rate.</w:t>
            </w:r>
          </w:p>
        </w:tc>
        <w:tc>
          <w:tcPr>
            <w:tcW w:w="130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2780" w:type="dxa"/>
            <w:vAlign w:val="bottom"/>
          </w:tcPr>
          <w:p>
            <w:pPr>
              <w:spacing w:after="0"/>
              <w:rPr>
                <w:sz w:val="20"/>
                <w:szCs w:val="20"/>
                <w:color w:val="auto"/>
              </w:rPr>
            </w:pPr>
            <w:r>
              <w:rPr>
                <w:rFonts w:ascii="Arial" w:cs="Arial" w:eastAsia="Arial" w:hAnsi="Arial"/>
                <w:sz w:val="13"/>
                <w:szCs w:val="13"/>
                <w:b w:val="1"/>
                <w:bCs w:val="1"/>
                <w:color w:val="auto"/>
              </w:rPr>
              <w:t>27.  Leases</w:t>
            </w:r>
          </w:p>
        </w:tc>
        <w:tc>
          <w:tcPr>
            <w:tcW w:w="2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780" w:type="dxa"/>
            <w:vAlign w:val="bottom"/>
          </w:tcPr>
          <w:p>
            <w:pPr>
              <w:spacing w:after="0"/>
              <w:rPr>
                <w:sz w:val="20"/>
                <w:szCs w:val="20"/>
                <w:color w:val="auto"/>
              </w:rPr>
            </w:pPr>
            <w:r>
              <w:rPr>
                <w:rFonts w:ascii="Arial" w:cs="Arial" w:eastAsia="Arial" w:hAnsi="Arial"/>
                <w:sz w:val="13"/>
                <w:szCs w:val="13"/>
                <w:b w:val="1"/>
                <w:bCs w:val="1"/>
                <w:i w:val="1"/>
                <w:iCs w:val="1"/>
                <w:color w:val="auto"/>
              </w:rPr>
              <w:t>Right-of-use assets</w:t>
            </w:r>
          </w:p>
        </w:tc>
        <w:tc>
          <w:tcPr>
            <w:tcW w:w="2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40" w:type="dxa"/>
            <w:vAlign w:val="bottom"/>
            <w:gridSpan w:val="2"/>
          </w:tcPr>
          <w:p>
            <w:pPr>
              <w:spacing w:after="0"/>
              <w:rPr>
                <w:sz w:val="20"/>
                <w:szCs w:val="20"/>
                <w:color w:val="auto"/>
              </w:rPr>
            </w:pPr>
            <w:r>
              <w:rPr>
                <w:rFonts w:ascii="Arial" w:cs="Arial" w:eastAsia="Arial" w:hAnsi="Arial"/>
                <w:sz w:val="13"/>
                <w:szCs w:val="13"/>
                <w:color w:val="auto"/>
              </w:rPr>
              <w:t>The Group has recorded the following for right-of-use assets:</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tcBorders>
              <w:left w:val="single" w:sz="8" w:color="CCEEFF"/>
              <w:bottom w:val="single" w:sz="8" w:color="auto"/>
              <w:right w:val="single" w:sz="8" w:color="CCEEFF"/>
            </w:tcBorders>
            <w:shd w:val="clear" w:color="auto" w:fill="CCEEFF"/>
          </w:tcPr>
          <w:p>
            <w:pPr>
              <w:spacing w:after="0"/>
              <w:rPr>
                <w:sz w:val="14"/>
                <w:szCs w:val="14"/>
                <w:color w:val="auto"/>
              </w:rPr>
            </w:pPr>
          </w:p>
        </w:tc>
        <w:tc>
          <w:tcPr>
            <w:tcW w:w="2460" w:type="dxa"/>
            <w:vAlign w:val="bottom"/>
            <w:tcBorders>
              <w:bottom w:val="single" w:sz="8" w:color="auto"/>
              <w:right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Premises</w:t>
            </w:r>
          </w:p>
        </w:tc>
        <w:tc>
          <w:tcPr>
            <w:tcW w:w="1320" w:type="dxa"/>
            <w:vAlign w:val="bottom"/>
            <w:tcBorders>
              <w:bottom w:val="single" w:sz="8" w:color="auto"/>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Equipment</w:t>
            </w:r>
          </w:p>
        </w:tc>
        <w:tc>
          <w:tcPr>
            <w:tcW w:w="25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Motor vehicles</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30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2500" w:type="dxa"/>
            <w:vAlign w:val="bottom"/>
          </w:tcPr>
          <w:p>
            <w:pPr>
              <w:jc w:val="right"/>
              <w:ind w:right="796"/>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7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Depreciation charge for 2020</w:t>
            </w:r>
          </w:p>
        </w:tc>
        <w:tc>
          <w:tcPr>
            <w:tcW w:w="2460" w:type="dxa"/>
            <w:vAlign w:val="bottom"/>
            <w:tcBorders>
              <w:right w:val="single" w:sz="8" w:color="CCEEFF"/>
            </w:tcBorders>
            <w:shd w:val="clear" w:color="auto" w:fill="CCEEFF"/>
          </w:tcPr>
          <w:p>
            <w:pPr>
              <w:spacing w:after="0"/>
              <w:rPr>
                <w:sz w:val="14"/>
                <w:szCs w:val="14"/>
                <w:color w:val="auto"/>
              </w:rPr>
            </w:pPr>
          </w:p>
        </w:tc>
        <w:tc>
          <w:tcPr>
            <w:tcW w:w="130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25,454</w:t>
            </w:r>
          </w:p>
        </w:tc>
        <w:tc>
          <w:tcPr>
            <w:tcW w:w="1320" w:type="dxa"/>
            <w:vAlign w:val="bottom"/>
            <w:tcBorders>
              <w:right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1,374</w:t>
            </w:r>
          </w:p>
        </w:tc>
        <w:tc>
          <w:tcPr>
            <w:tcW w:w="25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2,119</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28,947</w:t>
            </w:r>
          </w:p>
        </w:tc>
        <w:tc>
          <w:tcPr>
            <w:tcW w:w="0" w:type="dxa"/>
            <w:vAlign w:val="bottom"/>
          </w:tcPr>
          <w:p>
            <w:pPr>
              <w:spacing w:after="0"/>
              <w:rPr>
                <w:sz w:val="1"/>
                <w:szCs w:val="1"/>
                <w:color w:val="auto"/>
              </w:rPr>
            </w:pPr>
          </w:p>
        </w:tc>
      </w:tr>
      <w:tr>
        <w:trPr>
          <w:trHeight w:val="168"/>
        </w:trPr>
        <w:tc>
          <w:tcPr>
            <w:tcW w:w="2780" w:type="dxa"/>
            <w:vAlign w:val="bottom"/>
          </w:tcPr>
          <w:p>
            <w:pPr>
              <w:ind w:left="20"/>
              <w:spacing w:after="0"/>
              <w:rPr>
                <w:sz w:val="20"/>
                <w:szCs w:val="20"/>
                <w:color w:val="auto"/>
              </w:rPr>
            </w:pPr>
            <w:r>
              <w:rPr>
                <w:rFonts w:ascii="Arial" w:cs="Arial" w:eastAsia="Arial" w:hAnsi="Arial"/>
                <w:sz w:val="13"/>
                <w:szCs w:val="13"/>
                <w:color w:val="auto"/>
              </w:rPr>
              <w:t>Right-of-use assets at 31 December 2020</w:t>
            </w:r>
          </w:p>
        </w:tc>
        <w:tc>
          <w:tcPr>
            <w:tcW w:w="2460" w:type="dxa"/>
            <w:vAlign w:val="bottom"/>
          </w:tcPr>
          <w:p>
            <w:pPr>
              <w:spacing w:after="0"/>
              <w:rPr>
                <w:sz w:val="14"/>
                <w:szCs w:val="14"/>
                <w:color w:val="auto"/>
              </w:rPr>
            </w:pPr>
          </w:p>
        </w:tc>
        <w:tc>
          <w:tcPr>
            <w:tcW w:w="1300" w:type="dxa"/>
            <w:vAlign w:val="bottom"/>
          </w:tcPr>
          <w:p>
            <w:pPr>
              <w:jc w:val="right"/>
              <w:ind w:right="536"/>
              <w:spacing w:after="0"/>
              <w:rPr>
                <w:sz w:val="20"/>
                <w:szCs w:val="20"/>
                <w:color w:val="auto"/>
              </w:rPr>
            </w:pPr>
            <w:r>
              <w:rPr>
                <w:rFonts w:ascii="Arial" w:cs="Arial" w:eastAsia="Arial" w:hAnsi="Arial"/>
                <w:sz w:val="13"/>
                <w:szCs w:val="13"/>
                <w:color w:val="auto"/>
              </w:rPr>
              <w:t>76,666</w:t>
            </w: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2,688</w:t>
            </w:r>
          </w:p>
        </w:tc>
        <w:tc>
          <w:tcPr>
            <w:tcW w:w="2500" w:type="dxa"/>
            <w:vAlign w:val="bottom"/>
          </w:tcPr>
          <w:p>
            <w:pPr>
              <w:jc w:val="right"/>
              <w:ind w:right="836"/>
              <w:spacing w:after="0"/>
              <w:rPr>
                <w:sz w:val="20"/>
                <w:szCs w:val="20"/>
                <w:color w:val="auto"/>
              </w:rPr>
            </w:pPr>
            <w:r>
              <w:rPr>
                <w:rFonts w:ascii="Arial" w:cs="Arial" w:eastAsia="Arial" w:hAnsi="Arial"/>
                <w:sz w:val="13"/>
                <w:szCs w:val="13"/>
                <w:color w:val="auto"/>
              </w:rPr>
              <w:t>3,725</w:t>
            </w:r>
          </w:p>
        </w:tc>
        <w:tc>
          <w:tcPr>
            <w:tcW w:w="920" w:type="dxa"/>
            <w:vAlign w:val="bottom"/>
          </w:tcPr>
          <w:p>
            <w:pPr>
              <w:jc w:val="right"/>
              <w:spacing w:after="0"/>
              <w:rPr>
                <w:sz w:val="20"/>
                <w:szCs w:val="20"/>
                <w:color w:val="auto"/>
              </w:rPr>
            </w:pPr>
            <w:r>
              <w:rPr>
                <w:rFonts w:ascii="Arial" w:cs="Arial" w:eastAsia="Arial" w:hAnsi="Arial"/>
                <w:sz w:val="13"/>
                <w:szCs w:val="13"/>
                <w:color w:val="auto"/>
              </w:rPr>
              <w:t>83,079</w:t>
            </w:r>
          </w:p>
        </w:tc>
        <w:tc>
          <w:tcPr>
            <w:tcW w:w="0" w:type="dxa"/>
            <w:vAlign w:val="bottom"/>
          </w:tcPr>
          <w:p>
            <w:pPr>
              <w:spacing w:after="0"/>
              <w:rPr>
                <w:sz w:val="1"/>
                <w:szCs w:val="1"/>
                <w:color w:val="auto"/>
              </w:rPr>
            </w:pPr>
          </w:p>
        </w:tc>
      </w:tr>
      <w:tr>
        <w:trPr>
          <w:trHeight w:val="172"/>
        </w:trPr>
        <w:tc>
          <w:tcPr>
            <w:tcW w:w="278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Depreciation charge for the 2019</w:t>
            </w:r>
          </w:p>
        </w:tc>
        <w:tc>
          <w:tcPr>
            <w:tcW w:w="2460" w:type="dxa"/>
            <w:vAlign w:val="bottom"/>
            <w:tcBorders>
              <w:right w:val="single" w:sz="8" w:color="CCEEFF"/>
            </w:tcBorders>
            <w:shd w:val="clear" w:color="auto" w:fill="CCEEFF"/>
          </w:tcPr>
          <w:p>
            <w:pPr>
              <w:spacing w:after="0"/>
              <w:rPr>
                <w:sz w:val="14"/>
                <w:szCs w:val="14"/>
                <w:color w:val="auto"/>
              </w:rPr>
            </w:pPr>
          </w:p>
        </w:tc>
        <w:tc>
          <w:tcPr>
            <w:tcW w:w="130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28,070</w:t>
            </w:r>
          </w:p>
        </w:tc>
        <w:tc>
          <w:tcPr>
            <w:tcW w:w="1320" w:type="dxa"/>
            <w:vAlign w:val="bottom"/>
            <w:tcBorders>
              <w:right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1,102</w:t>
            </w:r>
          </w:p>
        </w:tc>
        <w:tc>
          <w:tcPr>
            <w:tcW w:w="25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2,215</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31,387</w:t>
            </w:r>
          </w:p>
        </w:tc>
        <w:tc>
          <w:tcPr>
            <w:tcW w:w="0" w:type="dxa"/>
            <w:vAlign w:val="bottom"/>
          </w:tcPr>
          <w:p>
            <w:pPr>
              <w:spacing w:after="0"/>
              <w:rPr>
                <w:sz w:val="1"/>
                <w:szCs w:val="1"/>
                <w:color w:val="auto"/>
              </w:rPr>
            </w:pPr>
          </w:p>
        </w:tc>
      </w:tr>
      <w:tr>
        <w:trPr>
          <w:trHeight w:val="168"/>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2019</w:t>
            </w:r>
          </w:p>
        </w:tc>
        <w:tc>
          <w:tcPr>
            <w:tcW w:w="2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98,226</w:t>
            </w: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3,015</w:t>
            </w:r>
          </w:p>
        </w:tc>
        <w:tc>
          <w:tcPr>
            <w:tcW w:w="250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color w:val="auto"/>
              </w:rPr>
              <w:t>2,721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103,962</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Additions to right-of-use assets during 2020, net of early termination options now reasonably certain to be exercised, were $12.1 million (2019: $</w:t>
      </w:r>
      <w:r>
        <w:rPr>
          <w:rFonts w:ascii="Arial" w:cs="Arial" w:eastAsia="Arial" w:hAnsi="Arial"/>
          <w:sz w:val="13"/>
          <w:szCs w:val="13"/>
          <w:b w:val="1"/>
          <w:bCs w:val="1"/>
          <w:color w:val="auto"/>
        </w:rPr>
        <w:t>29.5</w:t>
      </w:r>
      <w:r>
        <w:rPr>
          <w:rFonts w:ascii="Arial" w:cs="Arial" w:eastAsia="Arial" w:hAnsi="Arial"/>
          <w:sz w:val="13"/>
          <w:szCs w:val="13"/>
          <w:color w:val="auto"/>
        </w:rPr>
        <w:t xml:space="preserve"> million).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lease term at 31 December 2020 was 4.45 years (2019: 5.19).</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year ended December 31, 2020, as a result of office consolidations, certain ROU assets have been impaired to the extent they are considered onerous and an impairment loss of $5.4 million was recorded (see note 8 - Exceptional items). No impairment losses were recognised during the year ended December 31, 2019.</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Lease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Total lease payments for the year ended 31 December 2020 were $30.5 million (2019: $33.4 million).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80"/>
          </w:cols>
          <w:pgMar w:left="300" w:top="696" w:right="3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27.</w:t>
      </w:r>
      <w:r>
        <w:rPr>
          <w:sz w:val="20"/>
          <w:szCs w:val="20"/>
          <w:color w:val="auto"/>
        </w:rPr>
        <w:tab/>
      </w:r>
      <w:r>
        <w:rPr>
          <w:rFonts w:ascii="Arial" w:cs="Arial" w:eastAsia="Arial" w:hAnsi="Arial"/>
          <w:sz w:val="12"/>
          <w:szCs w:val="12"/>
          <w:b w:val="1"/>
          <w:bCs w:val="1"/>
          <w:color w:val="auto"/>
        </w:rPr>
        <w:t xml:space="preserve">Leases </w:t>
      </w:r>
      <w:r>
        <w:rPr>
          <w:rFonts w:ascii="Arial" w:cs="Arial" w:eastAsia="Arial" w:hAnsi="Arial"/>
          <w:sz w:val="12"/>
          <w:szCs w:val="12"/>
          <w:b w:val="1"/>
          <w:bCs w:val="1"/>
          <w:i w:val="1"/>
          <w:iCs w:val="1"/>
          <w:color w:val="auto"/>
        </w:rPr>
        <w:t>(continued)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color w:val="auto"/>
        </w:rPr>
        <w:t>Future minimum lease payments under non-cancelable leases as of 31 December 2020 were as follows: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280" w:type="dxa"/>
            <w:vAlign w:val="bottom"/>
            <w:shd w:val="clear" w:color="auto" w:fill="CCEEFF"/>
          </w:tcPr>
          <w:p>
            <w:pPr>
              <w:spacing w:after="0"/>
              <w:rPr>
                <w:sz w:val="14"/>
                <w:szCs w:val="14"/>
                <w:color w:val="auto"/>
              </w:rPr>
            </w:pPr>
          </w:p>
        </w:tc>
        <w:tc>
          <w:tcPr>
            <w:tcW w:w="4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r>
      <w:tr>
        <w:trPr>
          <w:trHeight w:val="169"/>
        </w:trPr>
        <w:tc>
          <w:tcPr>
            <w:tcW w:w="628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61"/>
        </w:trPr>
        <w:tc>
          <w:tcPr>
            <w:tcW w:w="6280" w:type="dxa"/>
            <w:vAlign w:val="bottom"/>
            <w:shd w:val="clear" w:color="auto" w:fill="CCEEFF"/>
          </w:tcPr>
          <w:p>
            <w:pPr>
              <w:spacing w:after="0"/>
              <w:rPr>
                <w:sz w:val="13"/>
                <w:szCs w:val="13"/>
                <w:color w:val="auto"/>
              </w:rPr>
            </w:pPr>
          </w:p>
        </w:tc>
        <w:tc>
          <w:tcPr>
            <w:tcW w:w="4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212"/>
        </w:trPr>
        <w:tc>
          <w:tcPr>
            <w:tcW w:w="628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170"/>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2021</w:t>
            </w:r>
          </w:p>
        </w:tc>
        <w:tc>
          <w:tcPr>
            <w:tcW w:w="49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26,164</w:t>
            </w:r>
          </w:p>
        </w:tc>
      </w:tr>
      <w:tr>
        <w:trPr>
          <w:trHeight w:val="169"/>
        </w:trPr>
        <w:tc>
          <w:tcPr>
            <w:tcW w:w="6280" w:type="dxa"/>
            <w:vAlign w:val="bottom"/>
          </w:tcPr>
          <w:p>
            <w:pPr>
              <w:spacing w:after="0"/>
              <w:rPr>
                <w:sz w:val="20"/>
                <w:szCs w:val="20"/>
                <w:color w:val="auto"/>
              </w:rPr>
            </w:pPr>
            <w:r>
              <w:rPr>
                <w:rFonts w:ascii="Arial" w:cs="Arial" w:eastAsia="Arial" w:hAnsi="Arial"/>
                <w:sz w:val="13"/>
                <w:szCs w:val="13"/>
                <w:color w:val="auto"/>
              </w:rPr>
              <w:t>2022</w:t>
            </w:r>
          </w:p>
        </w:tc>
        <w:tc>
          <w:tcPr>
            <w:tcW w:w="4980" w:type="dxa"/>
            <w:vAlign w:val="bottom"/>
          </w:tcPr>
          <w:p>
            <w:pPr>
              <w:jc w:val="right"/>
              <w:ind w:right="16"/>
              <w:spacing w:after="0"/>
              <w:rPr>
                <w:sz w:val="20"/>
                <w:szCs w:val="20"/>
                <w:color w:val="auto"/>
              </w:rPr>
            </w:pPr>
            <w:r>
              <w:rPr>
                <w:rFonts w:ascii="Arial" w:cs="Arial" w:eastAsia="Arial" w:hAnsi="Arial"/>
                <w:sz w:val="13"/>
                <w:szCs w:val="13"/>
                <w:b w:val="1"/>
                <w:bCs w:val="1"/>
                <w:color w:val="auto"/>
              </w:rPr>
              <w:t>21,510</w:t>
            </w:r>
          </w:p>
        </w:tc>
      </w:tr>
      <w:tr>
        <w:trPr>
          <w:trHeight w:val="170"/>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2023</w:t>
            </w:r>
          </w:p>
        </w:tc>
        <w:tc>
          <w:tcPr>
            <w:tcW w:w="49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16,108</w:t>
            </w:r>
          </w:p>
        </w:tc>
      </w:tr>
      <w:tr>
        <w:trPr>
          <w:trHeight w:val="169"/>
        </w:trPr>
        <w:tc>
          <w:tcPr>
            <w:tcW w:w="6280" w:type="dxa"/>
            <w:vAlign w:val="bottom"/>
          </w:tcPr>
          <w:p>
            <w:pPr>
              <w:spacing w:after="0"/>
              <w:rPr>
                <w:sz w:val="20"/>
                <w:szCs w:val="20"/>
                <w:color w:val="auto"/>
              </w:rPr>
            </w:pPr>
            <w:r>
              <w:rPr>
                <w:rFonts w:ascii="Arial" w:cs="Arial" w:eastAsia="Arial" w:hAnsi="Arial"/>
                <w:sz w:val="13"/>
                <w:szCs w:val="13"/>
                <w:color w:val="auto"/>
              </w:rPr>
              <w:t>2024</w:t>
            </w:r>
          </w:p>
        </w:tc>
        <w:tc>
          <w:tcPr>
            <w:tcW w:w="4980" w:type="dxa"/>
            <w:vAlign w:val="bottom"/>
          </w:tcPr>
          <w:p>
            <w:pPr>
              <w:jc w:val="right"/>
              <w:ind w:right="16"/>
              <w:spacing w:after="0"/>
              <w:rPr>
                <w:sz w:val="20"/>
                <w:szCs w:val="20"/>
                <w:color w:val="auto"/>
              </w:rPr>
            </w:pPr>
            <w:r>
              <w:rPr>
                <w:rFonts w:ascii="Arial" w:cs="Arial" w:eastAsia="Arial" w:hAnsi="Arial"/>
                <w:sz w:val="13"/>
                <w:szCs w:val="13"/>
                <w:b w:val="1"/>
                <w:bCs w:val="1"/>
                <w:color w:val="auto"/>
              </w:rPr>
              <w:t>10,165</w:t>
            </w:r>
          </w:p>
        </w:tc>
      </w:tr>
      <w:tr>
        <w:trPr>
          <w:trHeight w:val="170"/>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2025</w:t>
            </w:r>
          </w:p>
        </w:tc>
        <w:tc>
          <w:tcPr>
            <w:tcW w:w="49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6,046</w:t>
            </w:r>
          </w:p>
        </w:tc>
      </w:tr>
      <w:tr>
        <w:trPr>
          <w:trHeight w:val="171"/>
        </w:trPr>
        <w:tc>
          <w:tcPr>
            <w:tcW w:w="6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Thereafter</w:t>
            </w:r>
          </w:p>
        </w:tc>
        <w:tc>
          <w:tcPr>
            <w:tcW w:w="4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10,490</w:t>
            </w:r>
          </w:p>
        </w:tc>
      </w:tr>
      <w:tr>
        <w:trPr>
          <w:trHeight w:val="170"/>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Total future minimum lease payments</w:t>
            </w:r>
          </w:p>
        </w:tc>
        <w:tc>
          <w:tcPr>
            <w:tcW w:w="49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90,483</w:t>
            </w:r>
          </w:p>
        </w:tc>
      </w:tr>
      <w:tr>
        <w:trPr>
          <w:trHeight w:val="171"/>
        </w:trPr>
        <w:tc>
          <w:tcPr>
            <w:tcW w:w="6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Lease imputed interest</w:t>
            </w:r>
          </w:p>
        </w:tc>
        <w:tc>
          <w:tcPr>
            <w:tcW w:w="4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(5,348)</w:t>
            </w:r>
          </w:p>
        </w:tc>
      </w:tr>
      <w:tr>
        <w:trPr>
          <w:trHeight w:val="194"/>
        </w:trPr>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4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85,135</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49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to lease commitments disclosed in Note 8, lease liabilities are presented as current and non-current. Lease liabilities of $24.3 million have been included in accrued and other liabilities as at 31 December 2020 (2019: $28.3 million).</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Amounts recognised in profit or loss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amounts were recognised in profit and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shd w:val="clear" w:color="auto" w:fill="CCEEFF"/>
          </w:tcPr>
          <w:p>
            <w:pPr>
              <w:spacing w:after="0"/>
              <w:rPr>
                <w:sz w:val="14"/>
                <w:szCs w:val="14"/>
                <w:color w:val="auto"/>
              </w:rPr>
            </w:pPr>
          </w:p>
        </w:tc>
        <w:tc>
          <w:tcPr>
            <w:tcW w:w="4640" w:type="dxa"/>
            <w:vAlign w:val="bottom"/>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31 December</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r>
      <w:tr>
        <w:trPr>
          <w:trHeight w:val="169"/>
        </w:trPr>
        <w:tc>
          <w:tcPr>
            <w:tcW w:w="510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61"/>
        </w:trPr>
        <w:tc>
          <w:tcPr>
            <w:tcW w:w="5100" w:type="dxa"/>
            <w:vAlign w:val="bottom"/>
            <w:shd w:val="clear" w:color="auto" w:fill="CCEEFF"/>
          </w:tcPr>
          <w:p>
            <w:pPr>
              <w:spacing w:after="0"/>
              <w:rPr>
                <w:sz w:val="13"/>
                <w:szCs w:val="13"/>
                <w:color w:val="auto"/>
              </w:rPr>
            </w:pPr>
          </w:p>
        </w:tc>
        <w:tc>
          <w:tcPr>
            <w:tcW w:w="4640" w:type="dxa"/>
            <w:vAlign w:val="bottom"/>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$'000</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Depreciation of right-of-use assets</w:t>
            </w:r>
          </w:p>
        </w:tc>
        <w:tc>
          <w:tcPr>
            <w:tcW w:w="4640" w:type="dxa"/>
            <w:vAlign w:val="bottom"/>
          </w:tcPr>
          <w:p>
            <w:pPr>
              <w:jc w:val="right"/>
              <w:ind w:right="676"/>
              <w:spacing w:after="0"/>
              <w:rPr>
                <w:sz w:val="20"/>
                <w:szCs w:val="20"/>
                <w:color w:val="auto"/>
              </w:rPr>
            </w:pPr>
            <w:r>
              <w:rPr>
                <w:rFonts w:ascii="Arial" w:cs="Arial" w:eastAsia="Arial" w:hAnsi="Arial"/>
                <w:sz w:val="13"/>
                <w:szCs w:val="13"/>
                <w:b w:val="1"/>
                <w:bCs w:val="1"/>
                <w:color w:val="auto"/>
              </w:rPr>
              <w:t>28.947</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31,387</w:t>
            </w:r>
          </w:p>
        </w:tc>
      </w:tr>
      <w:tr>
        <w:trPr>
          <w:trHeight w:val="171"/>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on lease liabilities</w:t>
            </w:r>
          </w:p>
        </w:tc>
        <w:tc>
          <w:tcPr>
            <w:tcW w:w="46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1,668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2,626</w:t>
            </w:r>
          </w:p>
        </w:tc>
      </w:tr>
    </w:tbl>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Of the total cost of $30.6 million incurred in the year ended 31 December 2020, $26.6 million is recorded within other operating expenses, $2.4 million is recorded within direct costs and $1.7 million is recorded within financing expense. During 2020, the Group had income from sub-leases of $0.9 million.</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Of the total cost of $34.0 million incurred in the year ended 31 December 2019, $29.0 million is recorded within other operating expenses, $2.4 million is recorded within direct costs and $2.6 million is recorded within financing expense. During 2019, the Group had income from sub-leases of $1.8 million.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2020 and the year ended 31 December 2019, the Group did not incur any costs related to variable lease payments or short-term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80"/>
          </w:cols>
          <w:pgMar w:left="300" w:top="696" w:right="3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200" w:lineRule="exact"/>
        <w:rPr>
          <w:sz w:val="20"/>
          <w:szCs w:val="20"/>
          <w:color w:val="auto"/>
        </w:rPr>
      </w:pPr>
    </w:p>
    <w:p>
      <w:pPr>
        <w:spacing w:after="0" w:line="217" w:lineRule="exact"/>
        <w:rPr>
          <w:sz w:val="20"/>
          <w:szCs w:val="20"/>
          <w:color w:val="auto"/>
        </w:rPr>
      </w:pPr>
    </w:p>
    <w:p>
      <w:pPr>
        <w:ind w:left="260" w:hanging="255"/>
        <w:spacing w:after="0"/>
        <w:tabs>
          <w:tab w:leader="none" w:pos="260" w:val="left"/>
        </w:tabs>
        <w:numPr>
          <w:ilvl w:val="0"/>
          <w:numId w:val="123"/>
        </w:numPr>
        <w:rPr>
          <w:rFonts w:ascii="Arial" w:cs="Arial" w:eastAsia="Arial" w:hAnsi="Arial"/>
          <w:sz w:val="13"/>
          <w:szCs w:val="13"/>
          <w:i w:val="1"/>
          <w:iCs w:val="1"/>
          <w:color w:val="auto"/>
        </w:rPr>
      </w:pPr>
      <w:r>
        <w:rPr>
          <w:rFonts w:ascii="Arial" w:cs="Arial" w:eastAsia="Arial" w:hAnsi="Arial"/>
          <w:sz w:val="13"/>
          <w:szCs w:val="13"/>
          <w:i w:val="1"/>
          <w:iCs w:val="1"/>
          <w:color w:val="auto"/>
        </w:rPr>
        <w:t>Capital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capital commitments for the purchase of property, plant, equipment and computer software were authorised by the Group at 31 December 2020 and 31 December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shd w:val="clear" w:color="auto" w:fill="CCEEFF"/>
          </w:tcPr>
          <w:p>
            <w:pPr>
              <w:spacing w:after="0"/>
              <w:rPr>
                <w:sz w:val="13"/>
                <w:szCs w:val="13"/>
                <w:color w:val="auto"/>
              </w:rPr>
            </w:pPr>
          </w:p>
        </w:tc>
        <w:tc>
          <w:tcPr>
            <w:tcW w:w="52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4840" w:type="dxa"/>
            <w:vAlign w:val="bottom"/>
            <w:tcBorders>
              <w:bottom w:val="single" w:sz="8" w:color="auto"/>
            </w:tcBorders>
            <w:shd w:val="clear" w:color="auto" w:fill="CCEEFF"/>
          </w:tcPr>
          <w:p>
            <w:pPr>
              <w:spacing w:after="0"/>
              <w:rPr>
                <w:sz w:val="14"/>
                <w:szCs w:val="14"/>
                <w:color w:val="auto"/>
              </w:rPr>
            </w:pPr>
          </w:p>
        </w:tc>
        <w:tc>
          <w:tcPr>
            <w:tcW w:w="52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4840" w:type="dxa"/>
            <w:vAlign w:val="bottom"/>
          </w:tcPr>
          <w:p>
            <w:pPr>
              <w:spacing w:after="0"/>
              <w:rPr>
                <w:sz w:val="13"/>
                <w:szCs w:val="13"/>
                <w:color w:val="auto"/>
              </w:rPr>
            </w:pPr>
          </w:p>
        </w:tc>
        <w:tc>
          <w:tcPr>
            <w:tcW w:w="524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4840" w:type="dxa"/>
            <w:vAlign w:val="bottom"/>
            <w:shd w:val="clear" w:color="auto" w:fill="CCEEFF"/>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6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Contracted for</w:t>
            </w:r>
          </w:p>
        </w:tc>
        <w:tc>
          <w:tcPr>
            <w:tcW w:w="52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17,281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12,810</w:t>
            </w:r>
          </w:p>
        </w:tc>
      </w:tr>
      <w:tr>
        <w:trPr>
          <w:trHeight w:val="182"/>
        </w:trPr>
        <w:tc>
          <w:tcPr>
            <w:tcW w:w="4840" w:type="dxa"/>
            <w:vAlign w:val="bottom"/>
            <w:shd w:val="clear" w:color="auto" w:fill="CCEEFF"/>
          </w:tcPr>
          <w:p>
            <w:pPr>
              <w:spacing w:after="0"/>
              <w:rPr>
                <w:sz w:val="15"/>
                <w:szCs w:val="15"/>
                <w:color w:val="auto"/>
              </w:rPr>
            </w:pPr>
          </w:p>
        </w:tc>
        <w:tc>
          <w:tcPr>
            <w:tcW w:w="5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2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17,281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12,810</w:t>
            </w:r>
          </w:p>
        </w:tc>
      </w:tr>
    </w:tbl>
    <w:p>
      <w:pPr>
        <w:spacing w:after="0" w:line="244" w:lineRule="exact"/>
        <w:rPr>
          <w:sz w:val="20"/>
          <w:szCs w:val="20"/>
          <w:color w:val="auto"/>
        </w:rPr>
      </w:pPr>
    </w:p>
    <w:p>
      <w:pPr>
        <w:ind w:left="300" w:hanging="295"/>
        <w:spacing w:after="0"/>
        <w:tabs>
          <w:tab w:leader="none" w:pos="300" w:val="left"/>
        </w:tabs>
        <w:numPr>
          <w:ilvl w:val="0"/>
          <w:numId w:val="124"/>
        </w:numPr>
        <w:rPr>
          <w:rFonts w:ascii="Arial" w:cs="Arial" w:eastAsia="Arial" w:hAnsi="Arial"/>
          <w:sz w:val="13"/>
          <w:szCs w:val="13"/>
          <w:i w:val="1"/>
          <w:iCs w:val="1"/>
          <w:color w:val="auto"/>
        </w:rPr>
      </w:pPr>
      <w:r>
        <w:rPr>
          <w:rFonts w:ascii="Arial" w:cs="Arial" w:eastAsia="Arial" w:hAnsi="Arial"/>
          <w:sz w:val="13"/>
          <w:szCs w:val="13"/>
          <w:i w:val="1"/>
          <w:iCs w:val="1"/>
          <w:color w:val="auto"/>
        </w:rPr>
        <w:t>Guarantees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 As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the Senior Notes are guaranteed by ICON plc.</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guaranteed all of the commitments and liabilities referred to in Section 357(1) (b) of the Companies Act 2014 in respect of the whole of the financial year ending 31 December 2020 for the subsidiary companies listed below. These subsidiaries are availing of the exemption under Section 357 of the Companies Act 2014 not to file statutory financial statements.</w:t>
      </w:r>
    </w:p>
    <w:p>
      <w:pPr>
        <w:spacing w:after="0" w:line="162" w:lineRule="exact"/>
        <w:rPr>
          <w:sz w:val="20"/>
          <w:szCs w:val="20"/>
          <w:color w:val="auto"/>
        </w:rPr>
      </w:pPr>
    </w:p>
    <w:p>
      <w:pPr>
        <w:ind w:left="520" w:hanging="307"/>
        <w:spacing w:after="0"/>
        <w:tabs>
          <w:tab w:leader="none" w:pos="52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ICON Clinical Research Limited</w:t>
      </w:r>
    </w:p>
    <w:p>
      <w:pPr>
        <w:ind w:left="500" w:hanging="295"/>
        <w:spacing w:after="0" w:line="221" w:lineRule="auto"/>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DOCS Resourcing Limited</w:t>
      </w:r>
    </w:p>
    <w:p>
      <w:pPr>
        <w:ind w:left="500" w:hanging="295"/>
        <w:spacing w:after="0" w:line="221" w:lineRule="auto"/>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ICON Holdings Unlimited Company</w:t>
      </w:r>
    </w:p>
    <w:p>
      <w:pPr>
        <w:ind w:left="500" w:hanging="295"/>
        <w:spacing w:after="0" w:line="221" w:lineRule="auto"/>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Timpani Unlimited Company</w:t>
      </w:r>
    </w:p>
    <w:p>
      <w:pPr>
        <w:ind w:left="500" w:hanging="295"/>
        <w:spacing w:after="0" w:line="221" w:lineRule="auto"/>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ICON Clinical Research Property Holdings (Ireland) Limited</w:t>
      </w:r>
    </w:p>
    <w:p>
      <w:pPr>
        <w:ind w:left="500" w:hanging="295"/>
        <w:spacing w:after="0" w:line="221" w:lineRule="auto"/>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ICON Clinical Research Property Development (Ireland) Limited</w:t>
      </w:r>
    </w:p>
    <w:p>
      <w:pPr>
        <w:ind w:left="500" w:hanging="295"/>
        <w:spacing w:after="0" w:line="221" w:lineRule="auto"/>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ICON Holdings Clinical Research International Limited</w:t>
      </w:r>
    </w:p>
    <w:p>
      <w:pPr>
        <w:ind w:left="500" w:hanging="295"/>
        <w:spacing w:after="0" w:line="221" w:lineRule="auto"/>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ICON Clinical International Unlimited Company</w:t>
      </w:r>
    </w:p>
    <w:p>
      <w:pPr>
        <w:ind w:left="500" w:hanging="295"/>
        <w:spacing w:after="0" w:line="221" w:lineRule="auto"/>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ICON Investments Four Unlimited Company</w:t>
      </w:r>
    </w:p>
    <w:p>
      <w:pPr>
        <w:ind w:left="500" w:hanging="295"/>
        <w:spacing w:after="0" w:line="221" w:lineRule="auto"/>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ICON Investments Five Unlimited Company</w:t>
      </w:r>
    </w:p>
    <w:p>
      <w:pPr>
        <w:ind w:left="500" w:hanging="295"/>
        <w:spacing w:after="0" w:line="221" w:lineRule="auto"/>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Accellacare Limited</w:t>
      </w:r>
    </w:p>
    <w:p>
      <w:pPr>
        <w:ind w:left="500" w:hanging="295"/>
        <w:spacing w:after="0"/>
        <w:tabs>
          <w:tab w:leader="none" w:pos="50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ICON Global Treasury Unlimited Company</w:t>
      </w:r>
    </w:p>
    <w:p>
      <w:pPr>
        <w:spacing w:after="0" w:line="178" w:lineRule="exact"/>
        <w:rPr>
          <w:rFonts w:ascii="Arial" w:cs="Arial" w:eastAsia="Arial" w:hAnsi="Arial"/>
          <w:sz w:val="13"/>
          <w:szCs w:val="13"/>
          <w:color w:val="auto"/>
        </w:rPr>
      </w:pPr>
    </w:p>
    <w:p>
      <w:pPr>
        <w:ind w:left="300" w:hanging="295"/>
        <w:spacing w:after="0"/>
        <w:tabs>
          <w:tab w:leader="none" w:pos="300" w:val="left"/>
        </w:tabs>
        <w:numPr>
          <w:ilvl w:val="0"/>
          <w:numId w:val="125"/>
        </w:numPr>
        <w:rPr>
          <w:rFonts w:ascii="Arial" w:cs="Arial" w:eastAsia="Arial" w:hAnsi="Arial"/>
          <w:sz w:val="13"/>
          <w:szCs w:val="13"/>
          <w:i w:val="1"/>
          <w:iCs w:val="1"/>
          <w:color w:val="auto"/>
        </w:rPr>
      </w:pPr>
      <w:r>
        <w:rPr>
          <w:rFonts w:ascii="Arial" w:cs="Arial" w:eastAsia="Arial" w:hAnsi="Arial"/>
          <w:sz w:val="13"/>
          <w:szCs w:val="13"/>
          <w:i w:val="1"/>
          <w:iCs w:val="1"/>
          <w:color w:val="auto"/>
        </w:rPr>
        <w:t>Contractual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Group contractual obligations and commercial commitments as at 31 December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Borders>
              <w:bottom w:val="single" w:sz="8" w:color="auto"/>
            </w:tcBorders>
            <w:shd w:val="clear" w:color="auto" w:fill="CCEEFF"/>
          </w:tcPr>
          <w:p>
            <w:pPr>
              <w:spacing w:after="0"/>
              <w:rPr>
                <w:sz w:val="14"/>
                <w:szCs w:val="14"/>
                <w:color w:val="auto"/>
              </w:rPr>
            </w:pPr>
          </w:p>
        </w:tc>
        <w:tc>
          <w:tcPr>
            <w:tcW w:w="280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Payments due by period</w:t>
            </w:r>
          </w:p>
        </w:tc>
        <w:tc>
          <w:tcPr>
            <w:tcW w:w="1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118"/>
        </w:trPr>
        <w:tc>
          <w:tcPr>
            <w:tcW w:w="3540" w:type="dxa"/>
            <w:vAlign w:val="bottom"/>
          </w:tcPr>
          <w:p>
            <w:pPr>
              <w:spacing w:after="0"/>
              <w:rPr>
                <w:sz w:val="10"/>
                <w:szCs w:val="10"/>
                <w:color w:val="auto"/>
              </w:rPr>
            </w:pPr>
          </w:p>
        </w:tc>
        <w:tc>
          <w:tcPr>
            <w:tcW w:w="280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Total</w:t>
            </w:r>
          </w:p>
        </w:tc>
        <w:tc>
          <w:tcPr>
            <w:tcW w:w="2380" w:type="dxa"/>
            <w:vAlign w:val="bottom"/>
          </w:tcPr>
          <w:p>
            <w:pPr>
              <w:jc w:val="right"/>
              <w:ind w:right="1056"/>
              <w:spacing w:after="0" w:line="118" w:lineRule="exact"/>
              <w:rPr>
                <w:sz w:val="20"/>
                <w:szCs w:val="20"/>
                <w:color w:val="auto"/>
              </w:rPr>
            </w:pPr>
            <w:r>
              <w:rPr>
                <w:rFonts w:ascii="Arial" w:cs="Arial" w:eastAsia="Arial" w:hAnsi="Arial"/>
                <w:sz w:val="13"/>
                <w:szCs w:val="13"/>
                <w:b w:val="1"/>
                <w:bCs w:val="1"/>
                <w:color w:val="auto"/>
              </w:rPr>
              <w:t>Less than</w:t>
            </w:r>
          </w:p>
        </w:tc>
        <w:tc>
          <w:tcPr>
            <w:tcW w:w="1320" w:type="dxa"/>
            <w:vAlign w:val="bottom"/>
          </w:tcPr>
          <w:p>
            <w:pPr>
              <w:jc w:val="right"/>
              <w:ind w:right="556"/>
              <w:spacing w:after="0" w:line="118" w:lineRule="exact"/>
              <w:rPr>
                <w:sz w:val="20"/>
                <w:szCs w:val="20"/>
                <w:color w:val="auto"/>
              </w:rPr>
            </w:pPr>
            <w:r>
              <w:rPr>
                <w:rFonts w:ascii="Arial" w:cs="Arial" w:eastAsia="Arial" w:hAnsi="Arial"/>
                <w:sz w:val="13"/>
                <w:szCs w:val="13"/>
                <w:b w:val="1"/>
                <w:bCs w:val="1"/>
                <w:color w:val="auto"/>
              </w:rPr>
              <w:t>1 to 5</w:t>
            </w:r>
          </w:p>
        </w:tc>
        <w:tc>
          <w:tcPr>
            <w:tcW w:w="12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More than</w:t>
            </w:r>
          </w:p>
        </w:tc>
      </w:tr>
      <w:tr>
        <w:trPr>
          <w:trHeight w:val="169"/>
        </w:trPr>
        <w:tc>
          <w:tcPr>
            <w:tcW w:w="35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jc w:val="right"/>
              <w:ind w:right="1056"/>
              <w:spacing w:after="0"/>
              <w:rPr>
                <w:sz w:val="20"/>
                <w:szCs w:val="20"/>
                <w:color w:val="auto"/>
              </w:rPr>
            </w:pPr>
            <w:r>
              <w:rPr>
                <w:rFonts w:ascii="Arial" w:cs="Arial" w:eastAsia="Arial" w:hAnsi="Arial"/>
                <w:sz w:val="13"/>
                <w:szCs w:val="13"/>
                <w:b w:val="1"/>
                <w:bCs w:val="1"/>
                <w:color w:val="auto"/>
              </w:rPr>
              <w:t>1 year</w:t>
            </w: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years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61"/>
        </w:trPr>
        <w:tc>
          <w:tcPr>
            <w:tcW w:w="3540" w:type="dxa"/>
            <w:vAlign w:val="bottom"/>
            <w:shd w:val="clear" w:color="auto" w:fill="CCEEFF"/>
          </w:tcPr>
          <w:p>
            <w:pPr>
              <w:spacing w:after="0"/>
              <w:rPr>
                <w:sz w:val="13"/>
                <w:szCs w:val="13"/>
                <w:color w:val="auto"/>
              </w:rPr>
            </w:pPr>
          </w:p>
        </w:tc>
        <w:tc>
          <w:tcPr>
            <w:tcW w:w="28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2380" w:type="dxa"/>
            <w:vAlign w:val="bottom"/>
            <w:shd w:val="clear" w:color="auto" w:fill="CCEEFF"/>
          </w:tcPr>
          <w:p>
            <w:pPr>
              <w:jc w:val="right"/>
              <w:ind w:right="1056"/>
              <w:spacing w:after="0"/>
              <w:rPr>
                <w:sz w:val="20"/>
                <w:szCs w:val="20"/>
                <w:color w:val="auto"/>
              </w:rPr>
            </w:pPr>
            <w:r>
              <w:rPr>
                <w:rFonts w:ascii="Arial" w:cs="Arial" w:eastAsia="Arial" w:hAnsi="Arial"/>
                <w:sz w:val="13"/>
                <w:szCs w:val="13"/>
                <w:b w:val="1"/>
                <w:bCs w:val="1"/>
                <w:color w:val="auto"/>
              </w:rPr>
              <w:t>$’000</w:t>
            </w:r>
          </w:p>
        </w:tc>
        <w:tc>
          <w:tcPr>
            <w:tcW w:w="132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Capital commitments</w:t>
            </w:r>
          </w:p>
        </w:tc>
        <w:tc>
          <w:tcPr>
            <w:tcW w:w="28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17,281</w:t>
            </w:r>
          </w:p>
        </w:tc>
        <w:tc>
          <w:tcPr>
            <w:tcW w:w="238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17,281</w:t>
            </w:r>
          </w:p>
        </w:tc>
        <w:tc>
          <w:tcPr>
            <w:tcW w:w="132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contractual obligations</w:t>
            </w:r>
          </w:p>
        </w:tc>
        <w:tc>
          <w:tcPr>
            <w:tcW w:w="28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17,281</w:t>
            </w:r>
          </w:p>
        </w:tc>
        <w:tc>
          <w:tcPr>
            <w:tcW w:w="2380" w:type="dxa"/>
            <w:vAlign w:val="bottom"/>
            <w:tcBorders>
              <w:bottom w:val="single" w:sz="8" w:color="auto"/>
            </w:tcBorders>
          </w:tcPr>
          <w:p>
            <w:pPr>
              <w:jc w:val="right"/>
              <w:ind w:right="1096"/>
              <w:spacing w:after="0"/>
              <w:rPr>
                <w:sz w:val="20"/>
                <w:szCs w:val="20"/>
                <w:color w:val="auto"/>
              </w:rPr>
            </w:pPr>
            <w:r>
              <w:rPr>
                <w:rFonts w:ascii="Arial" w:cs="Arial" w:eastAsia="Arial" w:hAnsi="Arial"/>
                <w:sz w:val="13"/>
                <w:szCs w:val="13"/>
                <w:b w:val="1"/>
                <w:bCs w:val="1"/>
                <w:color w:val="auto"/>
              </w:rPr>
              <w:t>17,281</w:t>
            </w: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80"/>
          </w:cols>
          <w:pgMar w:left="300" w:top="696" w:right="3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320" w:hanging="315"/>
        <w:spacing w:after="0"/>
        <w:tabs>
          <w:tab w:leader="none" w:pos="320"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Commitments and contingencies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expects to spend approximately $60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The Company entered into subscription agreements with a number of funds (see </w:t>
      </w:r>
      <w:r>
        <w:rPr>
          <w:rFonts w:ascii="Arial" w:cs="Arial" w:eastAsia="Arial" w:hAnsi="Arial"/>
          <w:sz w:val="13"/>
          <w:szCs w:val="13"/>
          <w:i w:val="1"/>
          <w:iCs w:val="1"/>
          <w:color w:val="auto"/>
        </w:rPr>
        <w:t>note 18 Financial asset investments</w:t>
      </w:r>
      <w:r>
        <w:rPr>
          <w:rFonts w:ascii="Arial" w:cs="Arial" w:eastAsia="Arial" w:hAnsi="Arial"/>
          <w:sz w:val="13"/>
          <w:szCs w:val="13"/>
          <w:color w:val="auto"/>
        </w:rPr>
        <w:t>). Capital totalling $13.3 million had been advanced under the terms of the subscription agreements at 31 December 2020 (2019: $10.1 million). The Company had committed to future investments of $21.9 million in respect of these funds. The timing of the commitment is not specified in the subscription agreements.</w:t>
      </w:r>
    </w:p>
    <w:p>
      <w:pPr>
        <w:spacing w:after="0" w:line="206" w:lineRule="exact"/>
        <w:rPr>
          <w:sz w:val="20"/>
          <w:szCs w:val="20"/>
          <w:color w:val="auto"/>
        </w:rPr>
      </w:pPr>
    </w:p>
    <w:p>
      <w:pPr>
        <w:ind w:left="320" w:hanging="315"/>
        <w:spacing w:after="0"/>
        <w:tabs>
          <w:tab w:leader="none" w:pos="320"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20 April 2020, a putative class action, Chrystal Miller v. ICON plc et al, was filed against the Company in the Superior Court of California, County of San Mateo. The complaint alleges that the Company, two subsidiaries, and an individual employee violated the California Labor Code and the California Business &amp; Professions Code by failing to pay overtime wages, provide meal and rest periods, provide accurate and itemised wage statements and timely pay all final wages to Clinical Research Associates employed in California since 20 April 2016. The suit seeks monetary damages, interest, injunctive relief, and attorneys’ fees and costs. On 22 June 2020, the case was removed to the U.S. District Court, Northern District of California. On 4 November 2020, the federal court remanded the case to San Mateo Superior Court. On 23 December 2020, ICON Clinical filed a cross-complaint against Miller alleging causes of action for fraud, negligent misrepresentation, conversion, breach of contract, and accounting. The ICON defendants deny the allegations that they have acted unlawfully and are vigorously defending the lawsuit.</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Group is not party to any other litigation or legal proceedings that the Group believes could reasonably be expected to have a material adverse effect on the Group’s business, results of operations and financial position.</w:t>
      </w:r>
    </w:p>
    <w:p>
      <w:pPr>
        <w:spacing w:after="0" w:line="211" w:lineRule="exact"/>
        <w:rPr>
          <w:sz w:val="20"/>
          <w:szCs w:val="20"/>
          <w:color w:val="auto"/>
        </w:rPr>
      </w:pPr>
    </w:p>
    <w:p>
      <w:pPr>
        <w:ind w:left="320" w:hanging="315"/>
        <w:spacing w:after="0"/>
        <w:tabs>
          <w:tab w:leader="none" w:pos="320" w:val="left"/>
        </w:tabs>
        <w:numPr>
          <w:ilvl w:val="0"/>
          <w:numId w:val="128"/>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w:t>
      </w:r>
    </w:p>
    <w:p>
      <w:pPr>
        <w:spacing w:after="0" w:line="88" w:lineRule="exact"/>
        <w:rPr>
          <w:sz w:val="20"/>
          <w:szCs w:val="20"/>
          <w:color w:val="auto"/>
        </w:rPr>
      </w:pPr>
    </w:p>
    <w:p>
      <w:pPr>
        <w:ind w:left="260" w:hanging="255"/>
        <w:spacing w:after="0"/>
        <w:tabs>
          <w:tab w:leader="none" w:pos="260" w:val="left"/>
        </w:tabs>
        <w:numPr>
          <w:ilvl w:val="0"/>
          <w:numId w:val="129"/>
        </w:numPr>
        <w:rPr>
          <w:rFonts w:ascii="Arial" w:cs="Arial" w:eastAsia="Arial" w:hAnsi="Arial"/>
          <w:sz w:val="13"/>
          <w:szCs w:val="13"/>
          <w:color w:val="auto"/>
        </w:rPr>
      </w:pPr>
      <w:r>
        <w:rPr>
          <w:rFonts w:ascii="Arial" w:cs="Arial" w:eastAsia="Arial" w:hAnsi="Arial"/>
          <w:sz w:val="13"/>
          <w:szCs w:val="13"/>
          <w:i w:val="1"/>
          <w:iCs w:val="1"/>
          <w:color w:val="auto"/>
        </w:rPr>
        <w:t>Transactions with Directors and Executive Officers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total compensation of the Directors and Executive Officers (key management remuneration) for the years ended 31 December 2020 and 2019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shd w:val="clear" w:color="auto" w:fill="CCEEFF"/>
          </w:tcPr>
          <w:p>
            <w:pPr>
              <w:spacing w:after="0"/>
              <w:rPr>
                <w:sz w:val="13"/>
                <w:szCs w:val="13"/>
                <w:color w:val="auto"/>
              </w:rPr>
            </w:pPr>
          </w:p>
        </w:tc>
        <w:tc>
          <w:tcPr>
            <w:tcW w:w="59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27"/>
        </w:trPr>
        <w:tc>
          <w:tcPr>
            <w:tcW w:w="5360" w:type="dxa"/>
            <w:vAlign w:val="bottom"/>
            <w:shd w:val="clear" w:color="auto" w:fill="CCEEFF"/>
          </w:tcPr>
          <w:p>
            <w:pPr>
              <w:spacing w:after="0"/>
              <w:rPr>
                <w:sz w:val="11"/>
                <w:szCs w:val="11"/>
                <w:color w:val="auto"/>
              </w:rPr>
            </w:pPr>
          </w:p>
        </w:tc>
        <w:tc>
          <w:tcPr>
            <w:tcW w:w="4940" w:type="dxa"/>
            <w:vAlign w:val="bottom"/>
            <w:shd w:val="clear" w:color="auto" w:fill="CCEEFF"/>
          </w:tcPr>
          <w:p>
            <w:pPr>
              <w:jc w:val="right"/>
              <w:ind w:right="456"/>
              <w:spacing w:after="0" w:line="128" w:lineRule="exact"/>
              <w:rPr>
                <w:sz w:val="20"/>
                <w:szCs w:val="20"/>
                <w:color w:val="auto"/>
              </w:rPr>
            </w:pPr>
            <w:r>
              <w:rPr>
                <w:rFonts w:ascii="Arial" w:cs="Arial" w:eastAsia="Arial" w:hAnsi="Arial"/>
                <w:sz w:val="13"/>
                <w:szCs w:val="13"/>
                <w:b w:val="1"/>
                <w:bCs w:val="1"/>
                <w:color w:val="auto"/>
              </w:rPr>
              <w:t>December</w:t>
            </w:r>
          </w:p>
        </w:tc>
        <w:tc>
          <w:tcPr>
            <w:tcW w:w="9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2019</w:t>
            </w:r>
          </w:p>
        </w:tc>
      </w:tr>
      <w:tr>
        <w:trPr>
          <w:trHeight w:val="169"/>
        </w:trPr>
        <w:tc>
          <w:tcPr>
            <w:tcW w:w="5360" w:type="dxa"/>
            <w:vAlign w:val="bottom"/>
            <w:tcBorders>
              <w:bottom w:val="single" w:sz="8" w:color="auto"/>
            </w:tcBorders>
            <w:shd w:val="clear" w:color="auto" w:fill="CCEEFF"/>
          </w:tcPr>
          <w:p>
            <w:pPr>
              <w:spacing w:after="0"/>
              <w:rPr>
                <w:sz w:val="14"/>
                <w:szCs w:val="14"/>
                <w:color w:val="auto"/>
              </w:rPr>
            </w:pPr>
          </w:p>
        </w:tc>
        <w:tc>
          <w:tcPr>
            <w:tcW w:w="49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2020</w:t>
            </w:r>
          </w:p>
        </w:tc>
        <w:tc>
          <w:tcPr>
            <w:tcW w:w="980" w:type="dxa"/>
            <w:vAlign w:val="bottom"/>
            <w:tcBorders>
              <w:bottom w:val="single" w:sz="8" w:color="auto"/>
            </w:tcBorders>
            <w:shd w:val="clear" w:color="auto" w:fill="CCEEFF"/>
          </w:tcPr>
          <w:p>
            <w:pPr>
              <w:spacing w:after="0"/>
              <w:rPr>
                <w:sz w:val="14"/>
                <w:szCs w:val="14"/>
                <w:color w:val="auto"/>
              </w:rPr>
            </w:pPr>
          </w:p>
        </w:tc>
      </w:tr>
      <w:tr>
        <w:trPr>
          <w:trHeight w:val="160"/>
        </w:trPr>
        <w:tc>
          <w:tcPr>
            <w:tcW w:w="5360" w:type="dxa"/>
            <w:vAlign w:val="bottom"/>
          </w:tcPr>
          <w:p>
            <w:pPr>
              <w:spacing w:after="0"/>
              <w:rPr>
                <w:sz w:val="13"/>
                <w:szCs w:val="13"/>
                <w:color w:val="auto"/>
              </w:rPr>
            </w:pPr>
          </w:p>
        </w:tc>
        <w:tc>
          <w:tcPr>
            <w:tcW w:w="494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36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9"/>
        </w:trPr>
        <w:tc>
          <w:tcPr>
            <w:tcW w:w="5360" w:type="dxa"/>
            <w:vAlign w:val="bottom"/>
          </w:tcPr>
          <w:p>
            <w:pPr>
              <w:ind w:left="20"/>
              <w:spacing w:after="0"/>
              <w:rPr>
                <w:sz w:val="20"/>
                <w:szCs w:val="20"/>
                <w:color w:val="auto"/>
              </w:rPr>
            </w:pPr>
            <w:r>
              <w:rPr>
                <w:rFonts w:ascii="Arial" w:cs="Arial" w:eastAsia="Arial" w:hAnsi="Arial"/>
                <w:sz w:val="13"/>
                <w:szCs w:val="13"/>
                <w:color w:val="auto"/>
              </w:rPr>
              <w:t>Salary and fees</w:t>
            </w:r>
          </w:p>
        </w:tc>
        <w:tc>
          <w:tcPr>
            <w:tcW w:w="4940" w:type="dxa"/>
            <w:vAlign w:val="bottom"/>
          </w:tcPr>
          <w:p>
            <w:pPr>
              <w:jc w:val="right"/>
              <w:ind w:right="496"/>
              <w:spacing w:after="0"/>
              <w:rPr>
                <w:sz w:val="20"/>
                <w:szCs w:val="20"/>
                <w:color w:val="auto"/>
              </w:rPr>
            </w:pPr>
            <w:r>
              <w:rPr>
                <w:rFonts w:ascii="Arial" w:cs="Arial" w:eastAsia="Arial" w:hAnsi="Arial"/>
                <w:sz w:val="13"/>
                <w:szCs w:val="13"/>
                <w:b w:val="1"/>
                <w:bCs w:val="1"/>
                <w:color w:val="auto"/>
              </w:rPr>
              <w:t>2,799</w:t>
            </w:r>
          </w:p>
        </w:tc>
        <w:tc>
          <w:tcPr>
            <w:tcW w:w="980" w:type="dxa"/>
            <w:vAlign w:val="bottom"/>
          </w:tcPr>
          <w:p>
            <w:pPr>
              <w:jc w:val="right"/>
              <w:spacing w:after="0"/>
              <w:rPr>
                <w:sz w:val="20"/>
                <w:szCs w:val="20"/>
                <w:color w:val="auto"/>
              </w:rPr>
            </w:pPr>
            <w:r>
              <w:rPr>
                <w:rFonts w:ascii="Arial" w:cs="Arial" w:eastAsia="Arial" w:hAnsi="Arial"/>
                <w:sz w:val="13"/>
                <w:szCs w:val="13"/>
                <w:color w:val="auto"/>
              </w:rPr>
              <w:t>2,772</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Bonus</w:t>
            </w:r>
          </w:p>
        </w:tc>
        <w:tc>
          <w:tcPr>
            <w:tcW w:w="49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1,046</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w:t>
            </w:r>
          </w:p>
        </w:tc>
      </w:tr>
      <w:tr>
        <w:trPr>
          <w:trHeight w:val="169"/>
        </w:trPr>
        <w:tc>
          <w:tcPr>
            <w:tcW w:w="5360" w:type="dxa"/>
            <w:vAlign w:val="bottom"/>
          </w:tcPr>
          <w:p>
            <w:pPr>
              <w:ind w:left="20"/>
              <w:spacing w:after="0"/>
              <w:rPr>
                <w:sz w:val="20"/>
                <w:szCs w:val="20"/>
                <w:color w:val="auto"/>
              </w:rPr>
            </w:pPr>
            <w:r>
              <w:rPr>
                <w:rFonts w:ascii="Arial" w:cs="Arial" w:eastAsia="Arial" w:hAnsi="Arial"/>
                <w:sz w:val="13"/>
                <w:szCs w:val="13"/>
                <w:color w:val="auto"/>
              </w:rPr>
              <w:t>Other benefits</w:t>
            </w:r>
          </w:p>
        </w:tc>
        <w:tc>
          <w:tcPr>
            <w:tcW w:w="4940" w:type="dxa"/>
            <w:vAlign w:val="bottom"/>
          </w:tcPr>
          <w:p>
            <w:pPr>
              <w:jc w:val="right"/>
              <w:ind w:right="496"/>
              <w:spacing w:after="0"/>
              <w:rPr>
                <w:sz w:val="20"/>
                <w:szCs w:val="20"/>
                <w:color w:val="auto"/>
              </w:rPr>
            </w:pPr>
            <w:r>
              <w:rPr>
                <w:rFonts w:ascii="Arial" w:cs="Arial" w:eastAsia="Arial" w:hAnsi="Arial"/>
                <w:sz w:val="13"/>
                <w:szCs w:val="13"/>
                <w:b w:val="1"/>
                <w:bCs w:val="1"/>
                <w:color w:val="auto"/>
              </w:rPr>
              <w:t>59</w:t>
            </w:r>
          </w:p>
        </w:tc>
        <w:tc>
          <w:tcPr>
            <w:tcW w:w="9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contributions</w:t>
            </w:r>
          </w:p>
        </w:tc>
        <w:tc>
          <w:tcPr>
            <w:tcW w:w="49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241</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r>
      <w:tr>
        <w:trPr>
          <w:trHeight w:val="16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payment expense</w:t>
            </w:r>
          </w:p>
        </w:tc>
        <w:tc>
          <w:tcPr>
            <w:tcW w:w="49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10,662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8,955</w:t>
            </w:r>
          </w:p>
        </w:tc>
      </w:tr>
      <w:tr>
        <w:trPr>
          <w:trHeight w:val="182"/>
        </w:trPr>
        <w:tc>
          <w:tcPr>
            <w:tcW w:w="5360" w:type="dxa"/>
            <w:vAlign w:val="bottom"/>
            <w:shd w:val="clear" w:color="auto" w:fill="CCEEFF"/>
          </w:tcPr>
          <w:p>
            <w:pPr>
              <w:spacing w:after="0"/>
              <w:rPr>
                <w:sz w:val="15"/>
                <w:szCs w:val="15"/>
                <w:color w:val="auto"/>
              </w:rPr>
            </w:pPr>
          </w:p>
        </w:tc>
        <w:tc>
          <w:tcPr>
            <w:tcW w:w="49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1"/>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9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14,807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13,249</w:t>
            </w:r>
          </w:p>
        </w:tc>
      </w:tr>
    </w:tbl>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Details of ordinary shares, share options, RSUs and PSUs held by the Directors and Executive Officers and details of transactions entered into by Directors and Key Executive Officers in shares and share options of the Company during the year ended 31 December 2020 are set out in </w:t>
      </w:r>
      <w:r>
        <w:rPr>
          <w:rFonts w:ascii="Arial" w:cs="Arial" w:eastAsia="Arial" w:hAnsi="Arial"/>
          <w:sz w:val="13"/>
          <w:szCs w:val="13"/>
          <w:i w:val="1"/>
          <w:iCs w:val="1"/>
          <w:color w:val="auto"/>
        </w:rPr>
        <w:t>note 9 Payroll and related benefits</w:t>
      </w:r>
      <w:r>
        <w:rPr>
          <w:rFonts w:ascii="Arial" w:cs="Arial" w:eastAsia="Arial" w:hAnsi="Arial"/>
          <w:sz w:val="13"/>
          <w:szCs w:val="13"/>
          <w:color w:val="auto"/>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80"/>
          </w:cols>
          <w:pgMar w:left="300" w:top="696" w:right="3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71" w:lineRule="exact"/>
        <w:rPr>
          <w:sz w:val="20"/>
          <w:szCs w:val="20"/>
          <w:color w:val="auto"/>
        </w:rPr>
      </w:pPr>
    </w:p>
    <w:p>
      <w:pPr>
        <w:ind w:left="320" w:hanging="315"/>
        <w:spacing w:after="0"/>
        <w:tabs>
          <w:tab w:leader="none" w:pos="320" w:val="left"/>
        </w:tabs>
        <w:numPr>
          <w:ilvl w:val="0"/>
          <w:numId w:val="130"/>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2" w:lineRule="exact"/>
        <w:rPr>
          <w:sz w:val="20"/>
          <w:szCs w:val="20"/>
          <w:color w:val="auto"/>
        </w:rPr>
      </w:pPr>
    </w:p>
    <w:p>
      <w:pPr>
        <w:ind w:left="280" w:hanging="275"/>
        <w:spacing w:after="0"/>
        <w:tabs>
          <w:tab w:leader="none" w:pos="280" w:val="left"/>
        </w:tabs>
        <w:numPr>
          <w:ilvl w:val="0"/>
          <w:numId w:val="131"/>
        </w:numPr>
        <w:rPr>
          <w:rFonts w:ascii="Arial" w:cs="Arial" w:eastAsia="Arial" w:hAnsi="Arial"/>
          <w:sz w:val="13"/>
          <w:szCs w:val="13"/>
          <w:color w:val="auto"/>
        </w:rPr>
      </w:pPr>
      <w:r>
        <w:rPr>
          <w:rFonts w:ascii="Arial" w:cs="Arial" w:eastAsia="Arial" w:hAnsi="Arial"/>
          <w:sz w:val="13"/>
          <w:szCs w:val="13"/>
          <w:i w:val="1"/>
          <w:iCs w:val="1"/>
          <w:color w:val="auto"/>
        </w:rPr>
        <w:t>Other related party transactions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Subsidiaries of the Company earned revenue of $321,000 (2019: $95,000) from DS Biopharma Limited (formerly Dignity Sciences Limited) during the year. Dr. John Climax is Chief Executive Officer and a Director and shareholder of DS Biopharma Limited. $41,000 was recorded as due from DS Biopharma Limited at 31 December 2020 (2019: $36,000). The contract terms were agreed on an arm’s length basis.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24 July 2020, a subsidiary of the Company, ICON Clinical Research Limited, entered into an agreement to jointly establish a new company, Oncacare, with a third-party. The Company has invested $4.9 million to obtain a 49% interest in the voting share capital of Oncacare, of which, $2.5 million has been paid with the remainder to be paid in the next twelve months. This balance remains outstanding at the year ended 31 December 2020. The majority investor has the right to sell the 51% majority voting share capital exclusively to the Company in an eighteen month period, commencing 1 January 2023 and ICON also has the right to acquire the 51% majority voting share capital from 1 August 2025.</w:t>
      </w:r>
    </w:p>
    <w:p>
      <w:pPr>
        <w:spacing w:after="0" w:line="256" w:lineRule="exact"/>
        <w:rPr>
          <w:sz w:val="20"/>
          <w:szCs w:val="20"/>
          <w:color w:val="auto"/>
        </w:rPr>
      </w:pPr>
    </w:p>
    <w:p>
      <w:pPr>
        <w:ind w:left="320" w:hanging="315"/>
        <w:spacing w:after="0"/>
        <w:tabs>
          <w:tab w:leader="none" w:pos="320" w:val="left"/>
        </w:tabs>
        <w:numPr>
          <w:ilvl w:val="0"/>
          <w:numId w:val="132"/>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259"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The Group has evaluated subsequent events from the balance sheet date through 27 April 2021, the date at which the consolidated financial statements were approved. The following items were identified;</w:t>
      </w:r>
    </w:p>
    <w:p>
      <w:pPr>
        <w:spacing w:after="0" w:line="173"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On 24 February 2021, ICON plc announced it has entered into a Merger Agreement to acquire PRA Health Sciences, Inc. (‘PRA’) in a cash and stock transaction valued at approximately $12 billion. The per share merger consideration consists of $80 in cash and 0.4125 shares of ICON stock. The boards of directors of both companies have approved the acquisition. Subject to receipt of regulatory clearances and approval by shareholders of both companies, the acquisition is expected to close in the third quarter of 2021, and upon completion, ICON shareholders will own approximately 66% of the combined company and PRA shareholders will own approximately 34% of the combined company.</w:t>
      </w:r>
    </w:p>
    <w:p>
      <w:pPr>
        <w:spacing w:after="0" w:line="177"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In conjunction with the execution of the Merger Agreement, ICON entered into a commitment letter with Citigroup Global Markets Inc. (“Citi”) and certain other financial institutions pursuant to which they have committed to provide to ICON a senior secured revolving credit facility in an aggregate principal amount of up to $300.0 million and a senior secured bridge loan facility in an aggregate principal amount of up to $6,060.0 million to, among other things, finance ICON’s obligations in respect of the transactions contemplated by the Merger Agreement. The effectiveness of such credit facilities is subject to the occurrence of customary closing conditions, including the consummation of the Merger.</w:t>
      </w:r>
    </w:p>
    <w:p>
      <w:pPr>
        <w:spacing w:after="0" w:line="177"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The completion of the Merger is conditioned upon, among other things, the early termination or expiration of any applicable waiting period under the Hart-Scott-Rodino Antitrust Improvements Act of 1976, as amended (the “HSR Act”), and the clearance of the Merger having been granted by the German Federal Cartel Office (Bundeskartellamt) (the “FCO”), in each case relating to the consummation of the Merger. On April 12, 2021, the FCO provided antitrust clearance for the Merger. On April 14, 2021, the applicable waiting period under the HSR Act with respect to the Merger expired.</w:t>
      </w:r>
    </w:p>
    <w:p>
      <w:pPr>
        <w:spacing w:after="0" w:line="188"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The completion of the Merger remains subject to other customary closing conditions, including the adoption of the Merger Agreement by PRA’s stockholders and the approval by ICON’s shareholders of the issuance of ICON ordinary shares in the Merger.</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determined that there are no other items to disclose.</w:t>
      </w:r>
    </w:p>
    <w:p>
      <w:pPr>
        <w:spacing w:after="0" w:line="259" w:lineRule="exact"/>
        <w:rPr>
          <w:sz w:val="20"/>
          <w:szCs w:val="20"/>
          <w:color w:val="auto"/>
        </w:rPr>
      </w:pPr>
    </w:p>
    <w:p>
      <w:pPr>
        <w:ind w:left="320" w:hanging="315"/>
        <w:spacing w:after="0"/>
        <w:tabs>
          <w:tab w:leader="none" w:pos="320" w:val="left"/>
        </w:tabs>
        <w:numPr>
          <w:ilvl w:val="0"/>
          <w:numId w:val="133"/>
        </w:numPr>
        <w:rPr>
          <w:rFonts w:ascii="Arial" w:cs="Arial" w:eastAsia="Arial" w:hAnsi="Arial"/>
          <w:sz w:val="13"/>
          <w:szCs w:val="13"/>
          <w:b w:val="1"/>
          <w:bCs w:val="1"/>
          <w:color w:val="auto"/>
        </w:rPr>
      </w:pPr>
      <w:r>
        <w:rPr>
          <w:rFonts w:ascii="Arial" w:cs="Arial" w:eastAsia="Arial" w:hAnsi="Arial"/>
          <w:sz w:val="13"/>
          <w:szCs w:val="13"/>
          <w:b w:val="1"/>
          <w:bCs w:val="1"/>
          <w:color w:val="auto"/>
        </w:rPr>
        <w:t>Subsidiary undertakings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As at 31 December 2020 the Group had the following principal subsidiary undertakings: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360" w:type="dxa"/>
            <w:vAlign w:val="bottom"/>
            <w:shd w:val="clear" w:color="auto" w:fill="CCEEFF"/>
          </w:tcPr>
          <w:p>
            <w:pPr>
              <w:ind w:left="1000"/>
              <w:spacing w:after="0"/>
              <w:rPr>
                <w:sz w:val="20"/>
                <w:szCs w:val="20"/>
                <w:color w:val="auto"/>
              </w:rPr>
            </w:pPr>
            <w:r>
              <w:rPr>
                <w:rFonts w:ascii="Arial" w:cs="Arial" w:eastAsia="Arial" w:hAnsi="Arial"/>
                <w:sz w:val="13"/>
                <w:szCs w:val="13"/>
                <w:b w:val="1"/>
                <w:bCs w:val="1"/>
                <w:color w:val="auto"/>
              </w:rPr>
              <w:t>Registered Office</w:t>
            </w:r>
          </w:p>
        </w:tc>
        <w:tc>
          <w:tcPr>
            <w:tcW w:w="2380" w:type="dxa"/>
            <w:vAlign w:val="bottom"/>
            <w:shd w:val="clear" w:color="auto" w:fill="CCEEFF"/>
          </w:tcPr>
          <w:p>
            <w:pPr>
              <w:ind w:left="74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3080" w:type="dxa"/>
            <w:vAlign w:val="bottom"/>
            <w:tcBorders>
              <w:bottom w:val="single" w:sz="8" w:color="auto"/>
            </w:tcBorders>
            <w:shd w:val="clear" w:color="auto" w:fill="CCEEFF"/>
          </w:tcPr>
          <w:p>
            <w:pPr>
              <w:spacing w:after="0"/>
              <w:rPr>
                <w:sz w:val="14"/>
                <w:szCs w:val="14"/>
                <w:color w:val="auto"/>
              </w:rPr>
            </w:pPr>
          </w:p>
        </w:tc>
        <w:tc>
          <w:tcPr>
            <w:tcW w:w="336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30"/>
        </w:trPr>
        <w:tc>
          <w:tcPr>
            <w:tcW w:w="308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S.A.</w:t>
            </w:r>
          </w:p>
        </w:tc>
        <w:tc>
          <w:tcPr>
            <w:tcW w:w="3360" w:type="dxa"/>
            <w:vAlign w:val="bottom"/>
          </w:tcPr>
          <w:p>
            <w:pPr>
              <w:ind w:left="1000"/>
              <w:spacing w:after="0" w:line="131" w:lineRule="exact"/>
              <w:rPr>
                <w:sz w:val="20"/>
                <w:szCs w:val="20"/>
                <w:color w:val="auto"/>
              </w:rPr>
            </w:pPr>
            <w:r>
              <w:rPr>
                <w:rFonts w:ascii="Arial" w:cs="Arial" w:eastAsia="Arial" w:hAnsi="Arial"/>
                <w:sz w:val="13"/>
                <w:szCs w:val="13"/>
                <w:color w:val="auto"/>
              </w:rPr>
              <w:t>Cecilia Grierson 255, Floor 6</w:t>
            </w:r>
          </w:p>
        </w:tc>
        <w:tc>
          <w:tcPr>
            <w:tcW w:w="2380" w:type="dxa"/>
            <w:vAlign w:val="bottom"/>
          </w:tcPr>
          <w:p>
            <w:pPr>
              <w:ind w:left="740"/>
              <w:spacing w:after="0" w:line="131"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080" w:type="dxa"/>
            <w:vAlign w:val="bottom"/>
          </w:tcPr>
          <w:p>
            <w:pPr>
              <w:spacing w:after="0"/>
              <w:rPr>
                <w:sz w:val="11"/>
                <w:szCs w:val="11"/>
                <w:color w:val="auto"/>
              </w:rPr>
            </w:pPr>
          </w:p>
        </w:tc>
        <w:tc>
          <w:tcPr>
            <w:tcW w:w="3360" w:type="dxa"/>
            <w:vAlign w:val="bottom"/>
          </w:tcPr>
          <w:p>
            <w:pPr>
              <w:ind w:left="1000"/>
              <w:spacing w:after="0" w:line="128" w:lineRule="exact"/>
              <w:rPr>
                <w:sz w:val="20"/>
                <w:szCs w:val="20"/>
                <w:color w:val="auto"/>
              </w:rPr>
            </w:pPr>
            <w:r>
              <w:rPr>
                <w:rFonts w:ascii="Arial" w:cs="Arial" w:eastAsia="Arial" w:hAnsi="Arial"/>
                <w:sz w:val="13"/>
                <w:szCs w:val="13"/>
                <w:color w:val="auto"/>
              </w:rPr>
              <w:t>City of Buenos Aires</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080" w:type="dxa"/>
            <w:vAlign w:val="bottom"/>
          </w:tcPr>
          <w:p>
            <w:pPr>
              <w:spacing w:after="0"/>
              <w:rPr>
                <w:sz w:val="11"/>
                <w:szCs w:val="11"/>
                <w:color w:val="auto"/>
              </w:rPr>
            </w:pPr>
          </w:p>
        </w:tc>
        <w:tc>
          <w:tcPr>
            <w:tcW w:w="3360" w:type="dxa"/>
            <w:vAlign w:val="bottom"/>
          </w:tcPr>
          <w:p>
            <w:pPr>
              <w:ind w:left="1000"/>
              <w:spacing w:after="0" w:line="128" w:lineRule="exact"/>
              <w:rPr>
                <w:sz w:val="20"/>
                <w:szCs w:val="20"/>
                <w:color w:val="auto"/>
              </w:rPr>
            </w:pPr>
            <w:r>
              <w:rPr>
                <w:rFonts w:ascii="Arial" w:cs="Arial" w:eastAsia="Arial" w:hAnsi="Arial"/>
                <w:sz w:val="13"/>
                <w:szCs w:val="13"/>
                <w:color w:val="auto"/>
              </w:rPr>
              <w:t>C1107CPE</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080" w:type="dxa"/>
            <w:vAlign w:val="bottom"/>
          </w:tcPr>
          <w:p>
            <w:pPr>
              <w:spacing w:after="0"/>
              <w:rPr>
                <w:sz w:val="13"/>
                <w:szCs w:val="13"/>
                <w:color w:val="auto"/>
              </w:rPr>
            </w:pPr>
          </w:p>
        </w:tc>
        <w:tc>
          <w:tcPr>
            <w:tcW w:w="3360" w:type="dxa"/>
            <w:vAlign w:val="bottom"/>
          </w:tcPr>
          <w:p>
            <w:pPr>
              <w:ind w:left="1000"/>
              <w:spacing w:after="0"/>
              <w:rPr>
                <w:sz w:val="20"/>
                <w:szCs w:val="20"/>
                <w:color w:val="auto"/>
              </w:rPr>
            </w:pPr>
            <w:r>
              <w:rPr>
                <w:rFonts w:ascii="Arial" w:cs="Arial" w:eastAsia="Arial" w:hAnsi="Arial"/>
                <w:sz w:val="13"/>
                <w:szCs w:val="13"/>
                <w:color w:val="auto"/>
              </w:rPr>
              <w:t>Argentina</w:t>
            </w:r>
          </w:p>
        </w:tc>
        <w:tc>
          <w:tcPr>
            <w:tcW w:w="23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73"/>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PTY Limited</w:t>
            </w:r>
          </w:p>
        </w:tc>
        <w:tc>
          <w:tcPr>
            <w:tcW w:w="336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Suite 201,</w:t>
            </w:r>
          </w:p>
        </w:tc>
        <w:tc>
          <w:tcPr>
            <w:tcW w:w="2380" w:type="dxa"/>
            <w:vAlign w:val="bottom"/>
            <w:shd w:val="clear" w:color="auto" w:fill="CCEEFF"/>
          </w:tcPr>
          <w:p>
            <w:pPr>
              <w:ind w:left="740"/>
              <w:spacing w:after="0"/>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080" w:type="dxa"/>
            <w:vAlign w:val="bottom"/>
            <w:shd w:val="clear" w:color="auto" w:fill="CCEEFF"/>
          </w:tcPr>
          <w:p>
            <w:pPr>
              <w:spacing w:after="0"/>
              <w:rPr>
                <w:sz w:val="12"/>
                <w:szCs w:val="12"/>
                <w:color w:val="auto"/>
              </w:rPr>
            </w:pPr>
          </w:p>
        </w:tc>
        <w:tc>
          <w:tcPr>
            <w:tcW w:w="336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Level 2, 2-4 Lyon Park Road,</w:t>
            </w:r>
          </w:p>
        </w:tc>
        <w:tc>
          <w:tcPr>
            <w:tcW w:w="238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r>
      <w:tr>
        <w:trPr>
          <w:trHeight w:val="149"/>
        </w:trPr>
        <w:tc>
          <w:tcPr>
            <w:tcW w:w="3080" w:type="dxa"/>
            <w:vAlign w:val="bottom"/>
            <w:shd w:val="clear" w:color="auto" w:fill="CCEEFF"/>
          </w:tcPr>
          <w:p>
            <w:pPr>
              <w:spacing w:after="0"/>
              <w:rPr>
                <w:sz w:val="12"/>
                <w:szCs w:val="12"/>
                <w:color w:val="auto"/>
              </w:rPr>
            </w:pPr>
          </w:p>
        </w:tc>
        <w:tc>
          <w:tcPr>
            <w:tcW w:w="336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North Ryde,</w:t>
            </w:r>
          </w:p>
        </w:tc>
        <w:tc>
          <w:tcPr>
            <w:tcW w:w="238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r>
      <w:tr>
        <w:trPr>
          <w:trHeight w:val="149"/>
        </w:trPr>
        <w:tc>
          <w:tcPr>
            <w:tcW w:w="3080" w:type="dxa"/>
            <w:vAlign w:val="bottom"/>
            <w:shd w:val="clear" w:color="auto" w:fill="CCEEFF"/>
          </w:tcPr>
          <w:p>
            <w:pPr>
              <w:spacing w:after="0"/>
              <w:rPr>
                <w:sz w:val="12"/>
                <w:szCs w:val="12"/>
                <w:color w:val="auto"/>
              </w:rPr>
            </w:pPr>
          </w:p>
        </w:tc>
        <w:tc>
          <w:tcPr>
            <w:tcW w:w="336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NSW 2113</w:t>
            </w:r>
          </w:p>
        </w:tc>
        <w:tc>
          <w:tcPr>
            <w:tcW w:w="238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r>
      <w:tr>
        <w:trPr>
          <w:trHeight w:val="153"/>
        </w:trPr>
        <w:tc>
          <w:tcPr>
            <w:tcW w:w="3080" w:type="dxa"/>
            <w:vAlign w:val="bottom"/>
            <w:shd w:val="clear" w:color="auto" w:fill="CCEEFF"/>
          </w:tcPr>
          <w:p>
            <w:pPr>
              <w:spacing w:after="0"/>
              <w:rPr>
                <w:sz w:val="13"/>
                <w:szCs w:val="13"/>
                <w:color w:val="auto"/>
              </w:rPr>
            </w:pPr>
          </w:p>
        </w:tc>
        <w:tc>
          <w:tcPr>
            <w:tcW w:w="336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Australia</w:t>
            </w:r>
          </w:p>
        </w:tc>
        <w:tc>
          <w:tcPr>
            <w:tcW w:w="23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206"/>
        </w:trPr>
        <w:tc>
          <w:tcPr>
            <w:tcW w:w="30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80"/>
          </w:cols>
          <w:pgMar w:left="300" w:top="696" w:right="31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20" w:type="dxa"/>
            <w:vAlign w:val="bottom"/>
            <w:shd w:val="clear" w:color="auto" w:fill="CCEEFF"/>
          </w:tcPr>
          <w:p>
            <w:pPr>
              <w:ind w:left="1860"/>
              <w:spacing w:after="0"/>
              <w:rPr>
                <w:sz w:val="20"/>
                <w:szCs w:val="20"/>
                <w:color w:val="auto"/>
              </w:rPr>
            </w:pPr>
            <w:r>
              <w:rPr>
                <w:rFonts w:ascii="Arial" w:cs="Arial" w:eastAsia="Arial" w:hAnsi="Arial"/>
                <w:sz w:val="13"/>
                <w:szCs w:val="13"/>
                <w:b w:val="1"/>
                <w:bCs w:val="1"/>
                <w:color w:val="auto"/>
              </w:rPr>
              <w:t>Registered Office</w:t>
            </w:r>
          </w:p>
        </w:tc>
        <w:tc>
          <w:tcPr>
            <w:tcW w:w="2520" w:type="dxa"/>
            <w:vAlign w:val="bottom"/>
            <w:shd w:val="clear" w:color="auto" w:fill="CCEEFF"/>
          </w:tcPr>
          <w:p>
            <w:pPr>
              <w:ind w:left="1040"/>
              <w:spacing w:after="0"/>
              <w:rPr>
                <w:sz w:val="20"/>
                <w:szCs w:val="20"/>
                <w:color w:val="auto"/>
              </w:rPr>
            </w:pPr>
            <w:r>
              <w:rPr>
                <w:rFonts w:ascii="Arial" w:cs="Arial" w:eastAsia="Arial" w:hAnsi="Arial"/>
                <w:sz w:val="13"/>
                <w:szCs w:val="13"/>
                <w:b w:val="1"/>
                <w:bCs w:val="1"/>
                <w:color w:val="auto"/>
              </w:rPr>
              <w:t>Nature of business</w:t>
            </w:r>
          </w:p>
        </w:tc>
        <w:tc>
          <w:tcPr>
            <w:tcW w:w="260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2220" w:type="dxa"/>
            <w:vAlign w:val="bottom"/>
            <w:tcBorders>
              <w:bottom w:val="single" w:sz="8" w:color="auto"/>
            </w:tcBorders>
            <w:shd w:val="clear" w:color="auto" w:fill="CCEEFF"/>
          </w:tcPr>
          <w:p>
            <w:pPr>
              <w:spacing w:after="0"/>
              <w:rPr>
                <w:sz w:val="14"/>
                <w:szCs w:val="14"/>
                <w:color w:val="auto"/>
              </w:rPr>
            </w:pPr>
          </w:p>
        </w:tc>
        <w:tc>
          <w:tcPr>
            <w:tcW w:w="3920" w:type="dxa"/>
            <w:vAlign w:val="bottom"/>
            <w:tcBorders>
              <w:bottom w:val="single" w:sz="8" w:color="auto"/>
            </w:tcBorders>
            <w:shd w:val="clear" w:color="auto" w:fill="CCEEFF"/>
          </w:tcPr>
          <w:p>
            <w:pPr>
              <w:spacing w:after="0"/>
              <w:rPr>
                <w:sz w:val="14"/>
                <w:szCs w:val="14"/>
                <w:color w:val="auto"/>
              </w:rPr>
            </w:pPr>
          </w:p>
        </w:tc>
        <w:tc>
          <w:tcPr>
            <w:tcW w:w="2520" w:type="dxa"/>
            <w:vAlign w:val="bottom"/>
            <w:tcBorders>
              <w:bottom w:val="single" w:sz="8" w:color="auto"/>
            </w:tcBorders>
            <w:shd w:val="clear" w:color="auto" w:fill="CCEEFF"/>
          </w:tcPr>
          <w:p>
            <w:pPr>
              <w:spacing w:after="0"/>
              <w:rPr>
                <w:sz w:val="14"/>
                <w:szCs w:val="14"/>
                <w:color w:val="auto"/>
              </w:rPr>
            </w:pPr>
          </w:p>
        </w:tc>
        <w:tc>
          <w:tcPr>
            <w:tcW w:w="2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Group</w:t>
            </w:r>
          </w:p>
        </w:tc>
      </w:tr>
    </w:tbl>
    <w:p>
      <w:pPr>
        <w:spacing w:after="0" w:line="1" w:lineRule="exact"/>
        <w:rPr>
          <w:sz w:val="20"/>
          <w:szCs w:val="20"/>
          <w:color w:val="auto"/>
        </w:rPr>
      </w:pPr>
    </w:p>
    <w:p>
      <w:pPr>
        <w:sectPr>
          <w:pgSz w:w="11900" w:h="16838" w:orient="portrait"/>
          <w:cols w:equalWidth="0" w:num="1">
            <w:col w:w="11260"/>
          </w:cols>
          <w:pgMar w:left="300" w:top="696" w:right="339" w:bottom="144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MedPass International Pty Ltd</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ICON Clinical Research Austria GmbH</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DOCS International Belgium N.V.</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ICON Pesquisas Clínicas LTDA.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ICON Clinical Research EOOD</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ICON Clinical Research (Canada) Inc.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ICON Life Sciences Canada Inc.</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Oxford Outcomes LTD.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ICON Chile Limitada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CRS (Beijing) Clinical Research Co.,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2"/>
          <w:szCs w:val="12"/>
          <w:color w:val="auto"/>
        </w:rPr>
        <w:t>ICON Clinical Research (Beijing No.2) Co., Ltd</w:t>
      </w:r>
    </w:p>
    <w:p>
      <w:pPr>
        <w:spacing w:after="0" w:line="20" w:lineRule="exact"/>
        <w:rPr>
          <w:sz w:val="20"/>
          <w:szCs w:val="20"/>
          <w:color w:val="auto"/>
        </w:rPr>
      </w:pPr>
      <w:r>
        <w:rPr>
          <w:sz w:val="20"/>
          <w:szCs w:val="20"/>
          <w:color w:val="auto"/>
        </w:rPr>
        <w:br w:type="column"/>
      </w:r>
    </w:p>
    <w:p>
      <w:pPr>
        <w:spacing w:after="0" w:line="223" w:lineRule="auto"/>
        <w:rPr>
          <w:sz w:val="20"/>
          <w:szCs w:val="20"/>
          <w:color w:val="auto"/>
        </w:rPr>
      </w:pPr>
      <w:r>
        <w:rPr>
          <w:rFonts w:ascii="Arial" w:cs="Arial" w:eastAsia="Arial" w:hAnsi="Arial"/>
          <w:sz w:val="13"/>
          <w:szCs w:val="13"/>
          <w:color w:val="auto"/>
        </w:rPr>
        <w:t>Level 2, Pier 8, Shop 9</w:t>
      </w:r>
    </w:p>
    <w:p>
      <w:pPr>
        <w:spacing w:after="0" w:line="205" w:lineRule="auto"/>
        <w:rPr>
          <w:sz w:val="20"/>
          <w:szCs w:val="20"/>
          <w:color w:val="auto"/>
        </w:rPr>
      </w:pPr>
      <w:r>
        <w:rPr>
          <w:rFonts w:ascii="Arial" w:cs="Arial" w:eastAsia="Arial" w:hAnsi="Arial"/>
          <w:sz w:val="13"/>
          <w:szCs w:val="13"/>
          <w:color w:val="auto"/>
        </w:rPr>
        <w:t>23 Hickson Road</w:t>
      </w:r>
    </w:p>
    <w:p>
      <w:pPr>
        <w:spacing w:after="0" w:line="204" w:lineRule="auto"/>
        <w:rPr>
          <w:sz w:val="20"/>
          <w:szCs w:val="20"/>
          <w:color w:val="auto"/>
        </w:rPr>
      </w:pPr>
      <w:r>
        <w:rPr>
          <w:rFonts w:ascii="Arial" w:cs="Arial" w:eastAsia="Arial" w:hAnsi="Arial"/>
          <w:sz w:val="13"/>
          <w:szCs w:val="13"/>
          <w:color w:val="auto"/>
        </w:rPr>
        <w:t>Millers Point</w:t>
      </w:r>
    </w:p>
    <w:p>
      <w:pPr>
        <w:spacing w:after="0" w:line="205" w:lineRule="auto"/>
        <w:rPr>
          <w:sz w:val="20"/>
          <w:szCs w:val="20"/>
          <w:color w:val="auto"/>
        </w:rPr>
      </w:pPr>
      <w:r>
        <w:rPr>
          <w:rFonts w:ascii="Arial" w:cs="Arial" w:eastAsia="Arial" w:hAnsi="Arial"/>
          <w:sz w:val="13"/>
          <w:szCs w:val="13"/>
          <w:color w:val="auto"/>
        </w:rPr>
        <w:t>NSW 2000</w:t>
      </w:r>
    </w:p>
    <w:p>
      <w:pPr>
        <w:spacing w:after="0"/>
        <w:rPr>
          <w:sz w:val="20"/>
          <w:szCs w:val="20"/>
          <w:color w:val="auto"/>
        </w:rPr>
      </w:pPr>
      <w:r>
        <w:rPr>
          <w:rFonts w:ascii="Arial" w:cs="Arial" w:eastAsia="Arial" w:hAnsi="Arial"/>
          <w:sz w:val="13"/>
          <w:szCs w:val="13"/>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5080</wp:posOffset>
            </wp:positionV>
            <wp:extent cx="7148195" cy="431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43116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Pyrkergasse 10/6,</w:t>
      </w:r>
    </w:p>
    <w:p>
      <w:pPr>
        <w:spacing w:after="0"/>
        <w:rPr>
          <w:sz w:val="20"/>
          <w:szCs w:val="20"/>
          <w:color w:val="auto"/>
        </w:rPr>
      </w:pPr>
      <w:r>
        <w:rPr>
          <w:rFonts w:ascii="Arial" w:cs="Arial" w:eastAsia="Arial" w:hAnsi="Arial"/>
          <w:sz w:val="13"/>
          <w:szCs w:val="13"/>
          <w:color w:val="auto"/>
        </w:rPr>
        <w:t>1190 Vienna,</w:t>
      </w:r>
    </w:p>
    <w:p>
      <w:pPr>
        <w:spacing w:after="0"/>
        <w:rPr>
          <w:sz w:val="20"/>
          <w:szCs w:val="20"/>
          <w:color w:val="auto"/>
        </w:rPr>
      </w:pPr>
      <w:r>
        <w:rPr>
          <w:rFonts w:ascii="Arial" w:cs="Arial" w:eastAsia="Arial" w:hAnsi="Arial"/>
          <w:sz w:val="13"/>
          <w:szCs w:val="13"/>
          <w:color w:val="auto"/>
        </w:rPr>
        <w:t>Austria</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Interleuvenlaan 62,</w:t>
      </w:r>
    </w:p>
    <w:p>
      <w:pPr>
        <w:spacing w:after="0"/>
        <w:rPr>
          <w:sz w:val="20"/>
          <w:szCs w:val="20"/>
          <w:color w:val="auto"/>
        </w:rPr>
      </w:pPr>
      <w:r>
        <w:rPr>
          <w:rFonts w:ascii="Arial" w:cs="Arial" w:eastAsia="Arial" w:hAnsi="Arial"/>
          <w:sz w:val="13"/>
          <w:szCs w:val="13"/>
          <w:color w:val="auto"/>
        </w:rPr>
        <w:t>3001 Heverlee,</w:t>
      </w:r>
    </w:p>
    <w:p>
      <w:pPr>
        <w:spacing w:after="0"/>
        <w:rPr>
          <w:sz w:val="20"/>
          <w:szCs w:val="20"/>
          <w:color w:val="auto"/>
        </w:rPr>
      </w:pPr>
      <w:r>
        <w:rPr>
          <w:rFonts w:ascii="Arial" w:cs="Arial" w:eastAsia="Arial" w:hAnsi="Arial"/>
          <w:sz w:val="13"/>
          <w:szCs w:val="13"/>
          <w:color w:val="auto"/>
        </w:rPr>
        <w:t>Belgium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133350</wp:posOffset>
            </wp:positionV>
            <wp:extent cx="7148195" cy="619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6197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Av. Ibirapuera 2332,</w:t>
      </w:r>
    </w:p>
    <w:p>
      <w:pPr>
        <w:spacing w:after="0"/>
        <w:rPr>
          <w:sz w:val="20"/>
          <w:szCs w:val="20"/>
          <w:color w:val="auto"/>
        </w:rPr>
      </w:pPr>
      <w:r>
        <w:rPr>
          <w:rFonts w:ascii="Arial" w:cs="Arial" w:eastAsia="Arial" w:hAnsi="Arial"/>
          <w:sz w:val="13"/>
          <w:szCs w:val="13"/>
          <w:color w:val="auto"/>
        </w:rPr>
        <w:t>Torre II 4º Andar,</w:t>
      </w:r>
    </w:p>
    <w:p>
      <w:pPr>
        <w:spacing w:after="0"/>
        <w:rPr>
          <w:sz w:val="20"/>
          <w:szCs w:val="20"/>
          <w:color w:val="auto"/>
        </w:rPr>
      </w:pPr>
      <w:r>
        <w:rPr>
          <w:rFonts w:ascii="Arial" w:cs="Arial" w:eastAsia="Arial" w:hAnsi="Arial"/>
          <w:sz w:val="13"/>
          <w:szCs w:val="13"/>
          <w:color w:val="auto"/>
        </w:rPr>
        <w:t>São Paulo, SP,</w:t>
      </w:r>
    </w:p>
    <w:p>
      <w:pPr>
        <w:spacing w:after="0"/>
        <w:rPr>
          <w:sz w:val="20"/>
          <w:szCs w:val="20"/>
          <w:color w:val="auto"/>
        </w:rPr>
      </w:pPr>
      <w:r>
        <w:rPr>
          <w:rFonts w:ascii="Arial" w:cs="Arial" w:eastAsia="Arial" w:hAnsi="Arial"/>
          <w:sz w:val="13"/>
          <w:szCs w:val="13"/>
          <w:color w:val="auto"/>
        </w:rPr>
        <w:t>Brazil</w:t>
      </w:r>
    </w:p>
    <w:p>
      <w:pPr>
        <w:spacing w:after="0"/>
        <w:rPr>
          <w:sz w:val="20"/>
          <w:szCs w:val="20"/>
          <w:color w:val="auto"/>
        </w:rPr>
      </w:pPr>
      <w:r>
        <w:rPr>
          <w:rFonts w:ascii="Arial" w:cs="Arial" w:eastAsia="Arial" w:hAnsi="Arial"/>
          <w:sz w:val="13"/>
          <w:szCs w:val="13"/>
          <w:color w:val="auto"/>
        </w:rPr>
        <w:t>CEP 04028-003</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2A, Saborna Str.,</w:t>
      </w:r>
    </w:p>
    <w:p>
      <w:pPr>
        <w:spacing w:after="0"/>
        <w:rPr>
          <w:sz w:val="20"/>
          <w:szCs w:val="20"/>
          <w:color w:val="auto"/>
        </w:rPr>
      </w:pPr>
      <w:r>
        <w:rPr>
          <w:rFonts w:ascii="Arial" w:cs="Arial" w:eastAsia="Arial" w:hAnsi="Arial"/>
          <w:sz w:val="13"/>
          <w:szCs w:val="13"/>
          <w:color w:val="auto"/>
        </w:rPr>
        <w:t>4th floor, Sofia – 1000,</w:t>
      </w:r>
    </w:p>
    <w:p>
      <w:pPr>
        <w:spacing w:after="0"/>
        <w:rPr>
          <w:sz w:val="20"/>
          <w:szCs w:val="20"/>
          <w:color w:val="auto"/>
        </w:rPr>
      </w:pPr>
      <w:r>
        <w:rPr>
          <w:rFonts w:ascii="Arial" w:cs="Arial" w:eastAsia="Arial" w:hAnsi="Arial"/>
          <w:sz w:val="13"/>
          <w:szCs w:val="13"/>
          <w:color w:val="auto"/>
        </w:rPr>
        <w:t>Republic of Bulgaria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133350</wp:posOffset>
            </wp:positionV>
            <wp:extent cx="7148195" cy="525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52578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7405 Trans-Canada Highway,</w:t>
      </w:r>
    </w:p>
    <w:p>
      <w:pPr>
        <w:spacing w:after="0"/>
        <w:rPr>
          <w:sz w:val="20"/>
          <w:szCs w:val="20"/>
          <w:color w:val="auto"/>
        </w:rPr>
      </w:pPr>
      <w:r>
        <w:rPr>
          <w:rFonts w:ascii="Arial" w:cs="Arial" w:eastAsia="Arial" w:hAnsi="Arial"/>
          <w:sz w:val="13"/>
          <w:szCs w:val="13"/>
          <w:color w:val="auto"/>
        </w:rPr>
        <w:t>Suite 300 Saint-Laurent,</w:t>
      </w:r>
    </w:p>
    <w:p>
      <w:pPr>
        <w:spacing w:after="0"/>
        <w:rPr>
          <w:sz w:val="20"/>
          <w:szCs w:val="20"/>
          <w:color w:val="auto"/>
        </w:rPr>
      </w:pPr>
      <w:r>
        <w:rPr>
          <w:rFonts w:ascii="Arial" w:cs="Arial" w:eastAsia="Arial" w:hAnsi="Arial"/>
          <w:sz w:val="13"/>
          <w:szCs w:val="13"/>
          <w:color w:val="auto"/>
        </w:rPr>
        <w:t>Quebec, H4T 1Z2</w:t>
      </w:r>
    </w:p>
    <w:p>
      <w:pPr>
        <w:spacing w:after="0"/>
        <w:rPr>
          <w:sz w:val="20"/>
          <w:szCs w:val="20"/>
          <w:color w:val="auto"/>
        </w:rPr>
      </w:pPr>
      <w:r>
        <w:rPr>
          <w:rFonts w:ascii="Arial" w:cs="Arial" w:eastAsia="Arial" w:hAnsi="Arial"/>
          <w:sz w:val="13"/>
          <w:szCs w:val="13"/>
          <w:color w:val="auto"/>
        </w:rPr>
        <w:t>Canada</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3455 North Service Road</w:t>
      </w:r>
    </w:p>
    <w:p>
      <w:pPr>
        <w:spacing w:after="0" w:line="204" w:lineRule="auto"/>
        <w:rPr>
          <w:sz w:val="20"/>
          <w:szCs w:val="20"/>
          <w:color w:val="auto"/>
        </w:rPr>
      </w:pPr>
      <w:r>
        <w:rPr>
          <w:rFonts w:ascii="Arial" w:cs="Arial" w:eastAsia="Arial" w:hAnsi="Arial"/>
          <w:sz w:val="13"/>
          <w:szCs w:val="13"/>
          <w:color w:val="auto"/>
        </w:rPr>
        <w:t>Unit #400</w:t>
      </w:r>
    </w:p>
    <w:p>
      <w:pPr>
        <w:spacing w:after="0" w:line="204" w:lineRule="auto"/>
        <w:rPr>
          <w:sz w:val="20"/>
          <w:szCs w:val="20"/>
          <w:color w:val="auto"/>
        </w:rPr>
      </w:pPr>
      <w:r>
        <w:rPr>
          <w:rFonts w:ascii="Arial" w:cs="Arial" w:eastAsia="Arial" w:hAnsi="Arial"/>
          <w:sz w:val="13"/>
          <w:szCs w:val="13"/>
          <w:color w:val="auto"/>
        </w:rPr>
        <w:t>Burlington ON L7N 3G2</w:t>
      </w:r>
    </w:p>
    <w:p>
      <w:pPr>
        <w:spacing w:after="0"/>
        <w:rPr>
          <w:sz w:val="20"/>
          <w:szCs w:val="20"/>
          <w:color w:val="auto"/>
        </w:rPr>
      </w:pPr>
      <w:r>
        <w:rPr>
          <w:rFonts w:ascii="Arial" w:cs="Arial" w:eastAsia="Arial" w:hAnsi="Arial"/>
          <w:sz w:val="13"/>
          <w:szCs w:val="13"/>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5080</wp:posOffset>
            </wp:positionV>
            <wp:extent cx="7148195" cy="525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52578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19th Floor,</w:t>
      </w:r>
    </w:p>
    <w:p>
      <w:pPr>
        <w:spacing w:after="0"/>
        <w:rPr>
          <w:sz w:val="20"/>
          <w:szCs w:val="20"/>
          <w:color w:val="auto"/>
        </w:rPr>
      </w:pPr>
      <w:r>
        <w:rPr>
          <w:rFonts w:ascii="Arial" w:cs="Arial" w:eastAsia="Arial" w:hAnsi="Arial"/>
          <w:sz w:val="13"/>
          <w:szCs w:val="13"/>
          <w:color w:val="auto"/>
        </w:rPr>
        <w:t>885 West Georgia Street,</w:t>
      </w:r>
    </w:p>
    <w:p>
      <w:pPr>
        <w:spacing w:after="0"/>
        <w:rPr>
          <w:sz w:val="20"/>
          <w:szCs w:val="20"/>
          <w:color w:val="auto"/>
        </w:rPr>
      </w:pPr>
      <w:r>
        <w:rPr>
          <w:rFonts w:ascii="Arial" w:cs="Arial" w:eastAsia="Arial" w:hAnsi="Arial"/>
          <w:sz w:val="13"/>
          <w:szCs w:val="13"/>
          <w:color w:val="auto"/>
        </w:rPr>
        <w:t>Vancouver BC, V6C 3H4</w:t>
      </w:r>
    </w:p>
    <w:p>
      <w:pPr>
        <w:spacing w:after="0"/>
        <w:rPr>
          <w:sz w:val="20"/>
          <w:szCs w:val="20"/>
          <w:color w:val="auto"/>
        </w:rPr>
      </w:pPr>
      <w:r>
        <w:rPr>
          <w:rFonts w:ascii="Arial" w:cs="Arial" w:eastAsia="Arial" w:hAnsi="Arial"/>
          <w:sz w:val="13"/>
          <w:szCs w:val="13"/>
          <w:color w:val="auto"/>
        </w:rPr>
        <w:t>Canada</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Huerfanos 770,</w:t>
      </w:r>
    </w:p>
    <w:p>
      <w:pPr>
        <w:spacing w:after="0"/>
        <w:rPr>
          <w:sz w:val="20"/>
          <w:szCs w:val="20"/>
          <w:color w:val="auto"/>
        </w:rPr>
      </w:pPr>
      <w:r>
        <w:rPr>
          <w:rFonts w:ascii="Arial" w:cs="Arial" w:eastAsia="Arial" w:hAnsi="Arial"/>
          <w:sz w:val="13"/>
          <w:szCs w:val="13"/>
          <w:color w:val="auto"/>
        </w:rPr>
        <w:t>Piso 4,</w:t>
      </w:r>
    </w:p>
    <w:p>
      <w:pPr>
        <w:spacing w:after="0"/>
        <w:rPr>
          <w:sz w:val="20"/>
          <w:szCs w:val="20"/>
          <w:color w:val="auto"/>
        </w:rPr>
      </w:pPr>
      <w:r>
        <w:rPr>
          <w:rFonts w:ascii="Arial" w:cs="Arial" w:eastAsia="Arial" w:hAnsi="Arial"/>
          <w:sz w:val="13"/>
          <w:szCs w:val="13"/>
          <w:color w:val="auto"/>
        </w:rPr>
        <w:t>Oficina 402,</w:t>
      </w:r>
    </w:p>
    <w:p>
      <w:pPr>
        <w:spacing w:after="0"/>
        <w:rPr>
          <w:sz w:val="20"/>
          <w:szCs w:val="20"/>
          <w:color w:val="auto"/>
        </w:rPr>
      </w:pPr>
      <w:r>
        <w:rPr>
          <w:rFonts w:ascii="Arial" w:cs="Arial" w:eastAsia="Arial" w:hAnsi="Arial"/>
          <w:sz w:val="13"/>
          <w:szCs w:val="13"/>
          <w:color w:val="auto"/>
        </w:rPr>
        <w:t>Santiago,</w:t>
      </w:r>
    </w:p>
    <w:p>
      <w:pPr>
        <w:spacing w:after="0"/>
        <w:rPr>
          <w:sz w:val="20"/>
          <w:szCs w:val="20"/>
          <w:color w:val="auto"/>
        </w:rPr>
      </w:pPr>
      <w:r>
        <w:rPr>
          <w:rFonts w:ascii="Arial" w:cs="Arial" w:eastAsia="Arial" w:hAnsi="Arial"/>
          <w:sz w:val="13"/>
          <w:szCs w:val="13"/>
          <w:color w:val="auto"/>
        </w:rPr>
        <w:t>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133350</wp:posOffset>
            </wp:positionV>
            <wp:extent cx="7148195" cy="511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51181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Floor 3, Building 3,</w:t>
      </w:r>
    </w:p>
    <w:p>
      <w:pPr>
        <w:spacing w:after="0" w:line="204" w:lineRule="auto"/>
        <w:rPr>
          <w:sz w:val="20"/>
          <w:szCs w:val="20"/>
          <w:color w:val="auto"/>
        </w:rPr>
      </w:pPr>
      <w:r>
        <w:rPr>
          <w:rFonts w:ascii="Arial" w:cs="Arial" w:eastAsia="Arial" w:hAnsi="Arial"/>
          <w:sz w:val="13"/>
          <w:szCs w:val="13"/>
          <w:color w:val="auto"/>
        </w:rPr>
        <w:t>Hongda Industrial park,</w:t>
      </w:r>
    </w:p>
    <w:p>
      <w:pPr>
        <w:spacing w:after="0" w:line="204" w:lineRule="auto"/>
        <w:rPr>
          <w:sz w:val="20"/>
          <w:szCs w:val="20"/>
          <w:color w:val="auto"/>
        </w:rPr>
      </w:pPr>
      <w:r>
        <w:rPr>
          <w:rFonts w:ascii="Arial" w:cs="Arial" w:eastAsia="Arial" w:hAnsi="Arial"/>
          <w:sz w:val="13"/>
          <w:szCs w:val="13"/>
          <w:color w:val="auto"/>
        </w:rPr>
        <w:t>No. 8, Hongda North Road,</w:t>
      </w:r>
    </w:p>
    <w:p>
      <w:pPr>
        <w:spacing w:after="0" w:line="222" w:lineRule="auto"/>
        <w:rPr>
          <w:sz w:val="20"/>
          <w:szCs w:val="20"/>
          <w:color w:val="auto"/>
        </w:rPr>
      </w:pPr>
      <w:r>
        <w:rPr>
          <w:rFonts w:ascii="Arial" w:cs="Arial" w:eastAsia="Arial" w:hAnsi="Arial"/>
          <w:sz w:val="12"/>
          <w:szCs w:val="12"/>
          <w:color w:val="auto"/>
        </w:rPr>
        <w:t>Beijing Economic-Technological Development Area,</w:t>
      </w:r>
    </w:p>
    <w:p>
      <w:pPr>
        <w:spacing w:after="0" w:line="204" w:lineRule="auto"/>
        <w:rPr>
          <w:sz w:val="20"/>
          <w:szCs w:val="20"/>
          <w:color w:val="auto"/>
        </w:rPr>
      </w:pPr>
      <w:r>
        <w:rPr>
          <w:rFonts w:ascii="Arial" w:cs="Arial" w:eastAsia="Arial" w:hAnsi="Arial"/>
          <w:sz w:val="13"/>
          <w:szCs w:val="13"/>
          <w:color w:val="auto"/>
        </w:rPr>
        <w:t>Beijing,</w:t>
      </w:r>
    </w:p>
    <w:p>
      <w:pPr>
        <w:spacing w:after="0"/>
        <w:rPr>
          <w:sz w:val="20"/>
          <w:szCs w:val="20"/>
          <w:color w:val="auto"/>
        </w:rPr>
      </w:pPr>
      <w:r>
        <w:rPr>
          <w:rFonts w:ascii="Arial" w:cs="Arial" w:eastAsia="Arial" w:hAnsi="Arial"/>
          <w:sz w:val="13"/>
          <w:szCs w:val="13"/>
          <w:color w:val="auto"/>
        </w:rPr>
        <w:t>China</w:t>
      </w:r>
    </w:p>
    <w:p>
      <w:pPr>
        <w:spacing w:after="0" w:line="236" w:lineRule="auto"/>
        <w:rPr>
          <w:sz w:val="20"/>
          <w:szCs w:val="20"/>
          <w:color w:val="auto"/>
        </w:rPr>
      </w:pPr>
      <w:r>
        <w:rPr>
          <w:rFonts w:ascii="Arial" w:cs="Arial" w:eastAsia="Arial" w:hAnsi="Arial"/>
          <w:sz w:val="13"/>
          <w:szCs w:val="13"/>
          <w:color w:val="auto"/>
        </w:rPr>
        <w:t>Floor 2, Building 5,</w:t>
      </w:r>
    </w:p>
    <w:p>
      <w:pPr>
        <w:spacing w:after="0" w:line="205" w:lineRule="auto"/>
        <w:rPr>
          <w:sz w:val="20"/>
          <w:szCs w:val="20"/>
          <w:color w:val="auto"/>
        </w:rPr>
      </w:pPr>
      <w:r>
        <w:rPr>
          <w:rFonts w:ascii="Arial" w:cs="Arial" w:eastAsia="Arial" w:hAnsi="Arial"/>
          <w:sz w:val="13"/>
          <w:szCs w:val="13"/>
          <w:color w:val="auto"/>
        </w:rPr>
        <w:t>Hongda Industrial park,</w:t>
      </w:r>
    </w:p>
    <w:p>
      <w:pPr>
        <w:spacing w:after="0" w:line="204" w:lineRule="auto"/>
        <w:rPr>
          <w:sz w:val="20"/>
          <w:szCs w:val="20"/>
          <w:color w:val="auto"/>
        </w:rPr>
      </w:pPr>
      <w:r>
        <w:rPr>
          <w:rFonts w:ascii="Arial" w:cs="Arial" w:eastAsia="Arial" w:hAnsi="Arial"/>
          <w:sz w:val="13"/>
          <w:szCs w:val="13"/>
          <w:color w:val="auto"/>
        </w:rPr>
        <w:t>No. 8 Hongda North Road,</w:t>
      </w:r>
    </w:p>
    <w:p>
      <w:pPr>
        <w:spacing w:after="0" w:line="222" w:lineRule="auto"/>
        <w:rPr>
          <w:sz w:val="20"/>
          <w:szCs w:val="20"/>
          <w:color w:val="auto"/>
        </w:rPr>
      </w:pPr>
      <w:r>
        <w:rPr>
          <w:rFonts w:ascii="Arial" w:cs="Arial" w:eastAsia="Arial" w:hAnsi="Arial"/>
          <w:sz w:val="12"/>
          <w:szCs w:val="12"/>
          <w:color w:val="auto"/>
        </w:rPr>
        <w:t>Beijing Economic - Technologies Development Area,</w:t>
      </w:r>
    </w:p>
    <w:p>
      <w:pPr>
        <w:spacing w:after="0" w:line="204" w:lineRule="auto"/>
        <w:rPr>
          <w:sz w:val="20"/>
          <w:szCs w:val="20"/>
          <w:color w:val="auto"/>
        </w:rPr>
      </w:pPr>
      <w:r>
        <w:rPr>
          <w:rFonts w:ascii="Arial" w:cs="Arial" w:eastAsia="Arial" w:hAnsi="Arial"/>
          <w:sz w:val="13"/>
          <w:szCs w:val="13"/>
          <w:color w:val="auto"/>
        </w:rPr>
        <w:t>Beijing,</w:t>
      </w:r>
    </w:p>
    <w:p>
      <w:pPr>
        <w:spacing w:after="0"/>
        <w:rPr>
          <w:sz w:val="20"/>
          <w:szCs w:val="20"/>
          <w:color w:val="auto"/>
        </w:rPr>
      </w:pPr>
      <w:r>
        <w:rPr>
          <w:rFonts w:ascii="Arial" w:cs="Arial" w:eastAsia="Arial" w:hAnsi="Arial"/>
          <w:sz w:val="13"/>
          <w:szCs w:val="13"/>
          <w:color w:val="auto"/>
        </w:rPr>
        <w:t>China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679"/>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679"/>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679"/>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w w:val="93"/>
              </w:rPr>
              <w:t>100%*</w:t>
            </w:r>
          </w:p>
        </w:tc>
      </w:tr>
      <w:tr>
        <w:trPr>
          <w:trHeight w:val="976"/>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679"/>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828"/>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552"/>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828"/>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976"/>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806"/>
        </w:trPr>
        <w:tc>
          <w:tcPr>
            <w:tcW w:w="1640" w:type="dxa"/>
            <w:vAlign w:val="bottom"/>
          </w:tcPr>
          <w:p>
            <w:pPr>
              <w:spacing w:after="0"/>
              <w:rPr>
                <w:sz w:val="20"/>
                <w:szCs w:val="20"/>
                <w:color w:val="auto"/>
              </w:rPr>
            </w:pPr>
            <w:r>
              <w:rPr>
                <w:rFonts w:ascii="Arial" w:cs="Arial" w:eastAsia="Arial" w:hAnsi="Arial"/>
                <w:sz w:val="13"/>
                <w:szCs w:val="13"/>
                <w:color w:val="auto"/>
              </w:rPr>
              <w:t>Clinical research services</w:t>
            </w:r>
          </w:p>
        </w:tc>
        <w:tc>
          <w:tcPr>
            <w:tcW w:w="580" w:type="dxa"/>
            <w:vAlign w:val="bottom"/>
          </w:tcPr>
          <w:p>
            <w:pPr>
              <w:ind w:left="200"/>
              <w:spacing w:after="0"/>
              <w:rPr>
                <w:sz w:val="20"/>
                <w:szCs w:val="20"/>
                <w:color w:val="auto"/>
              </w:rPr>
            </w:pPr>
            <w:r>
              <w:rPr>
                <w:rFonts w:ascii="Arial" w:cs="Arial" w:eastAsia="Arial" w:hAnsi="Arial"/>
                <w:sz w:val="13"/>
                <w:szCs w:val="13"/>
                <w:color w:val="auto"/>
              </w:rPr>
              <w:t>100%</w:t>
            </w:r>
          </w:p>
        </w:tc>
      </w:tr>
    </w:tbl>
    <w:p>
      <w:pPr>
        <w:spacing w:after="0" w:line="832" w:lineRule="exact"/>
        <w:rPr>
          <w:sz w:val="20"/>
          <w:szCs w:val="20"/>
          <w:color w:val="auto"/>
        </w:rPr>
      </w:pPr>
    </w:p>
    <w:p>
      <w:pPr>
        <w:sectPr>
          <w:pgSz w:w="11900" w:h="16838" w:orient="portrait"/>
          <w:cols w:equalWidth="0" w:num="3">
            <w:col w:w="3360" w:space="720"/>
            <w:col w:w="2940" w:space="160"/>
            <w:col w:w="4080"/>
          </w:cols>
          <w:pgMar w:left="300" w:top="696" w:right="339" w:bottom="1440" w:gutter="0" w:footer="0" w:header="0"/>
          <w:type w:val="continuous"/>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260"/>
          </w:cols>
          <w:pgMar w:left="300" w:top="696" w:right="3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7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tcBorders>
              <w:bottom w:val="single" w:sz="8" w:color="auto"/>
            </w:tcBorders>
            <w:shd w:val="clear" w:color="auto" w:fill="CCEEFF"/>
          </w:tcPr>
          <w:p>
            <w:pPr>
              <w:spacing w:after="0"/>
              <w:rPr>
                <w:sz w:val="14"/>
                <w:szCs w:val="14"/>
                <w:color w:val="auto"/>
              </w:rPr>
            </w:pPr>
          </w:p>
        </w:tc>
        <w:tc>
          <w:tcPr>
            <w:tcW w:w="30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30"/>
        </w:trPr>
        <w:tc>
          <w:tcPr>
            <w:tcW w:w="40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ICON Clinical Research (Beijing) Co., Ltd</w:t>
            </w:r>
          </w:p>
        </w:tc>
        <w:tc>
          <w:tcPr>
            <w:tcW w:w="30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Floor 1 Building No. 5, No. 8 Hongda North Road,</w:t>
            </w:r>
          </w:p>
        </w:tc>
        <w:tc>
          <w:tcPr>
            <w:tcW w:w="1700" w:type="dxa"/>
            <w:vAlign w:val="bottom"/>
            <w:shd w:val="clear" w:color="auto" w:fill="CCEEFF"/>
          </w:tcPr>
          <w:p>
            <w:pPr>
              <w:ind w:left="60"/>
              <w:spacing w:after="0" w:line="131"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98"/>
              </w:rPr>
              <w:t>Beijing Economic-Technologies Developement Zone,</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Beijing,</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China</w:t>
            </w:r>
          </w:p>
        </w:tc>
        <w:tc>
          <w:tcPr>
            <w:tcW w:w="17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Ispitivanja ICON d.o.o (ICON Research Ltd.)</w:t>
            </w:r>
          </w:p>
        </w:tc>
        <w:tc>
          <w:tcPr>
            <w:tcW w:w="3060" w:type="dxa"/>
            <w:vAlign w:val="bottom"/>
          </w:tcPr>
          <w:p>
            <w:pPr>
              <w:ind w:left="20"/>
              <w:spacing w:after="0" w:line="139" w:lineRule="exact"/>
              <w:rPr>
                <w:sz w:val="20"/>
                <w:szCs w:val="20"/>
                <w:color w:val="auto"/>
              </w:rPr>
            </w:pPr>
            <w:r>
              <w:rPr>
                <w:rFonts w:ascii="Arial" w:cs="Arial" w:eastAsia="Arial" w:hAnsi="Arial"/>
                <w:sz w:val="13"/>
                <w:szCs w:val="13"/>
                <w:color w:val="auto"/>
              </w:rPr>
              <w:t>Zagreb,</w:t>
            </w:r>
          </w:p>
        </w:tc>
        <w:tc>
          <w:tcPr>
            <w:tcW w:w="1700" w:type="dxa"/>
            <w:vAlign w:val="bottom"/>
          </w:tcPr>
          <w:p>
            <w:pPr>
              <w:ind w:left="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Radnicka cesta 80,</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Croatia</w:t>
            </w:r>
          </w:p>
        </w:tc>
        <w:tc>
          <w:tcPr>
            <w:tcW w:w="17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s.r.o.</w:t>
            </w:r>
          </w:p>
        </w:tc>
        <w:tc>
          <w:tcPr>
            <w:tcW w:w="3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V parku 2335/20,</w:t>
            </w:r>
          </w:p>
        </w:tc>
        <w:tc>
          <w:tcPr>
            <w:tcW w:w="1700" w:type="dxa"/>
            <w:vAlign w:val="bottom"/>
            <w:shd w:val="clear" w:color="auto" w:fill="CCEEFF"/>
          </w:tcPr>
          <w:p>
            <w:pPr>
              <w:ind w:left="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Praha 4 - Chodov,</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PSČ 148 00</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Czech Republic</w:t>
            </w:r>
          </w:p>
        </w:tc>
        <w:tc>
          <w:tcPr>
            <w:tcW w:w="17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DOCS International Nordic Countries A/S</w:t>
            </w:r>
          </w:p>
        </w:tc>
        <w:tc>
          <w:tcPr>
            <w:tcW w:w="3060" w:type="dxa"/>
            <w:vAlign w:val="bottom"/>
          </w:tcPr>
          <w:p>
            <w:pPr>
              <w:ind w:left="20"/>
              <w:spacing w:after="0" w:line="139" w:lineRule="exact"/>
              <w:rPr>
                <w:sz w:val="20"/>
                <w:szCs w:val="20"/>
                <w:color w:val="auto"/>
              </w:rPr>
            </w:pPr>
            <w:r>
              <w:rPr>
                <w:rFonts w:ascii="Arial" w:cs="Arial" w:eastAsia="Arial" w:hAnsi="Arial"/>
                <w:sz w:val="13"/>
                <w:szCs w:val="13"/>
                <w:color w:val="auto"/>
              </w:rPr>
              <w:t>c/o Husen Advokater,</w:t>
            </w:r>
          </w:p>
        </w:tc>
        <w:tc>
          <w:tcPr>
            <w:tcW w:w="1700" w:type="dxa"/>
            <w:vAlign w:val="bottom"/>
          </w:tcPr>
          <w:p>
            <w:pPr>
              <w:ind w:left="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Bryggernes Plads,</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2 sal,</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1799 København V,</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Denmark</w:t>
            </w:r>
          </w:p>
        </w:tc>
        <w:tc>
          <w:tcPr>
            <w:tcW w:w="17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DOCS International Finland Oy</w:t>
            </w:r>
          </w:p>
        </w:tc>
        <w:tc>
          <w:tcPr>
            <w:tcW w:w="3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Mannerheimintie 12B,</w:t>
            </w:r>
          </w:p>
        </w:tc>
        <w:tc>
          <w:tcPr>
            <w:tcW w:w="1700" w:type="dxa"/>
            <w:vAlign w:val="bottom"/>
            <w:shd w:val="clear" w:color="auto" w:fill="CCEEFF"/>
          </w:tcPr>
          <w:p>
            <w:pPr>
              <w:ind w:left="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00100 Helsinki,</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Finland</w:t>
            </w:r>
          </w:p>
        </w:tc>
        <w:tc>
          <w:tcPr>
            <w:tcW w:w="17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DOCS International France S.A.S.</w:t>
            </w:r>
          </w:p>
        </w:tc>
        <w:tc>
          <w:tcPr>
            <w:tcW w:w="3060" w:type="dxa"/>
            <w:vAlign w:val="bottom"/>
          </w:tcPr>
          <w:p>
            <w:pPr>
              <w:ind w:left="20"/>
              <w:spacing w:after="0" w:line="139" w:lineRule="exact"/>
              <w:rPr>
                <w:sz w:val="20"/>
                <w:szCs w:val="20"/>
                <w:color w:val="auto"/>
              </w:rPr>
            </w:pPr>
            <w:r>
              <w:rPr>
                <w:rFonts w:ascii="Arial" w:cs="Arial" w:eastAsia="Arial" w:hAnsi="Arial"/>
                <w:sz w:val="13"/>
                <w:szCs w:val="13"/>
                <w:color w:val="auto"/>
              </w:rPr>
              <w:t>55 Avenue des Champs Pierreux,</w:t>
            </w:r>
          </w:p>
        </w:tc>
        <w:tc>
          <w:tcPr>
            <w:tcW w:w="1700" w:type="dxa"/>
            <w:vAlign w:val="bottom"/>
          </w:tcPr>
          <w:p>
            <w:pPr>
              <w:ind w:left="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Immeuble le Capitole,</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92000 Nanterre,</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France</w:t>
            </w:r>
          </w:p>
        </w:tc>
        <w:tc>
          <w:tcPr>
            <w:tcW w:w="17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S.A.R.L.</w:t>
            </w:r>
          </w:p>
        </w:tc>
        <w:tc>
          <w:tcPr>
            <w:tcW w:w="3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55 Avenue des Champs Pierreux,</w:t>
            </w:r>
          </w:p>
        </w:tc>
        <w:tc>
          <w:tcPr>
            <w:tcW w:w="1700" w:type="dxa"/>
            <w:vAlign w:val="bottom"/>
            <w:shd w:val="clear" w:color="auto" w:fill="CCEEFF"/>
          </w:tcPr>
          <w:p>
            <w:pPr>
              <w:ind w:left="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Immeuble le Capitole,</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92000 Nanterre,</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France</w:t>
            </w:r>
          </w:p>
        </w:tc>
        <w:tc>
          <w:tcPr>
            <w:tcW w:w="17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Mapi Développement SAS</w:t>
            </w:r>
          </w:p>
        </w:tc>
        <w:tc>
          <w:tcPr>
            <w:tcW w:w="3060" w:type="dxa"/>
            <w:vAlign w:val="bottom"/>
          </w:tcPr>
          <w:p>
            <w:pPr>
              <w:ind w:left="20"/>
              <w:spacing w:after="0" w:line="139" w:lineRule="exact"/>
              <w:rPr>
                <w:sz w:val="20"/>
                <w:szCs w:val="20"/>
                <w:color w:val="auto"/>
              </w:rPr>
            </w:pPr>
            <w:r>
              <w:rPr>
                <w:rFonts w:ascii="Arial" w:cs="Arial" w:eastAsia="Arial" w:hAnsi="Arial"/>
                <w:sz w:val="13"/>
                <w:szCs w:val="13"/>
                <w:color w:val="auto"/>
              </w:rPr>
              <w:t>27 rue de la Villette,</w:t>
            </w:r>
          </w:p>
        </w:tc>
        <w:tc>
          <w:tcPr>
            <w:tcW w:w="1700" w:type="dxa"/>
            <w:vAlign w:val="bottom"/>
          </w:tcPr>
          <w:p>
            <w:pPr>
              <w:ind w:left="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69003 Lyon,</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France</w:t>
            </w:r>
          </w:p>
        </w:tc>
        <w:tc>
          <w:tcPr>
            <w:tcW w:w="17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Mapi Research Trust**</w:t>
            </w:r>
          </w:p>
        </w:tc>
        <w:tc>
          <w:tcPr>
            <w:tcW w:w="3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27 rue de la Villette,</w:t>
            </w:r>
          </w:p>
        </w:tc>
        <w:tc>
          <w:tcPr>
            <w:tcW w:w="1700" w:type="dxa"/>
            <w:vAlign w:val="bottom"/>
            <w:shd w:val="clear" w:color="auto" w:fill="CCEEFF"/>
          </w:tcPr>
          <w:p>
            <w:pPr>
              <w:ind w:left="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69003 Lyon,</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France</w:t>
            </w:r>
          </w:p>
        </w:tc>
        <w:tc>
          <w:tcPr>
            <w:tcW w:w="17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Mapi SAS</w:t>
            </w:r>
          </w:p>
        </w:tc>
        <w:tc>
          <w:tcPr>
            <w:tcW w:w="3060" w:type="dxa"/>
            <w:vAlign w:val="bottom"/>
          </w:tcPr>
          <w:p>
            <w:pPr>
              <w:ind w:left="20"/>
              <w:spacing w:after="0" w:line="139" w:lineRule="exact"/>
              <w:rPr>
                <w:sz w:val="20"/>
                <w:szCs w:val="20"/>
                <w:color w:val="auto"/>
              </w:rPr>
            </w:pPr>
            <w:r>
              <w:rPr>
                <w:rFonts w:ascii="Arial" w:cs="Arial" w:eastAsia="Arial" w:hAnsi="Arial"/>
                <w:sz w:val="13"/>
                <w:szCs w:val="13"/>
                <w:color w:val="auto"/>
              </w:rPr>
              <w:t>27 rue de la Villette,</w:t>
            </w:r>
          </w:p>
        </w:tc>
        <w:tc>
          <w:tcPr>
            <w:tcW w:w="1700" w:type="dxa"/>
            <w:vAlign w:val="bottom"/>
          </w:tcPr>
          <w:p>
            <w:pPr>
              <w:ind w:left="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69003 Lyon,</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France</w:t>
            </w:r>
          </w:p>
        </w:tc>
        <w:tc>
          <w:tcPr>
            <w:tcW w:w="17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MedPass International SAS</w:t>
            </w:r>
          </w:p>
        </w:tc>
        <w:tc>
          <w:tcPr>
            <w:tcW w:w="3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55 Avenue des Champs Pierreux,</w:t>
            </w:r>
          </w:p>
        </w:tc>
        <w:tc>
          <w:tcPr>
            <w:tcW w:w="1700" w:type="dxa"/>
            <w:vAlign w:val="bottom"/>
            <w:shd w:val="clear" w:color="auto" w:fill="CCEEFF"/>
          </w:tcPr>
          <w:p>
            <w:pPr>
              <w:ind w:left="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Immeuble le Capitole,</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92000 Nanterre,</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France</w:t>
            </w:r>
          </w:p>
        </w:tc>
        <w:tc>
          <w:tcPr>
            <w:tcW w:w="17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MedPass SAS</w:t>
            </w:r>
          </w:p>
        </w:tc>
        <w:tc>
          <w:tcPr>
            <w:tcW w:w="3060" w:type="dxa"/>
            <w:vAlign w:val="bottom"/>
          </w:tcPr>
          <w:p>
            <w:pPr>
              <w:ind w:left="20"/>
              <w:spacing w:after="0" w:line="139" w:lineRule="exact"/>
              <w:rPr>
                <w:sz w:val="20"/>
                <w:szCs w:val="20"/>
                <w:color w:val="auto"/>
              </w:rPr>
            </w:pPr>
            <w:r>
              <w:rPr>
                <w:rFonts w:ascii="Arial" w:cs="Arial" w:eastAsia="Arial" w:hAnsi="Arial"/>
                <w:sz w:val="13"/>
                <w:szCs w:val="13"/>
                <w:color w:val="auto"/>
              </w:rPr>
              <w:t>95bis Boulevard Pereire,</w:t>
            </w:r>
          </w:p>
        </w:tc>
        <w:tc>
          <w:tcPr>
            <w:tcW w:w="1700" w:type="dxa"/>
            <w:vAlign w:val="bottom"/>
          </w:tcPr>
          <w:p>
            <w:pPr>
              <w:ind w:left="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Paris 75017</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France</w:t>
            </w:r>
          </w:p>
        </w:tc>
        <w:tc>
          <w:tcPr>
            <w:tcW w:w="17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MPLR SAS</w:t>
            </w:r>
          </w:p>
        </w:tc>
        <w:tc>
          <w:tcPr>
            <w:tcW w:w="3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55 Avenue des Champs Pierreux,</w:t>
            </w:r>
          </w:p>
        </w:tc>
        <w:tc>
          <w:tcPr>
            <w:tcW w:w="1700" w:type="dxa"/>
            <w:vAlign w:val="bottom"/>
            <w:shd w:val="clear" w:color="auto" w:fill="CCEEFF"/>
          </w:tcPr>
          <w:p>
            <w:pPr>
              <w:ind w:left="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Immeuble le Capitole,</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92000 Nanterre,</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France</w:t>
            </w:r>
          </w:p>
        </w:tc>
        <w:tc>
          <w:tcPr>
            <w:tcW w:w="17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DOCS International Germany GmbH</w:t>
            </w:r>
          </w:p>
        </w:tc>
        <w:tc>
          <w:tcPr>
            <w:tcW w:w="3060" w:type="dxa"/>
            <w:vAlign w:val="bottom"/>
          </w:tcPr>
          <w:p>
            <w:pPr>
              <w:ind w:left="20"/>
              <w:spacing w:after="0" w:line="139" w:lineRule="exact"/>
              <w:rPr>
                <w:sz w:val="20"/>
                <w:szCs w:val="20"/>
                <w:color w:val="auto"/>
              </w:rPr>
            </w:pPr>
            <w:r>
              <w:rPr>
                <w:rFonts w:ascii="Arial" w:cs="Arial" w:eastAsia="Arial" w:hAnsi="Arial"/>
                <w:sz w:val="13"/>
                <w:szCs w:val="13"/>
                <w:color w:val="auto"/>
              </w:rPr>
              <w:t>Konrad-Zuse-Platz 11</w:t>
            </w:r>
          </w:p>
        </w:tc>
        <w:tc>
          <w:tcPr>
            <w:tcW w:w="1700" w:type="dxa"/>
            <w:vAlign w:val="bottom"/>
          </w:tcPr>
          <w:p>
            <w:pPr>
              <w:ind w:left="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ind w:left="20"/>
              <w:spacing w:after="0" w:line="128" w:lineRule="exact"/>
              <w:rPr>
                <w:sz w:val="20"/>
                <w:szCs w:val="20"/>
                <w:color w:val="auto"/>
              </w:rPr>
            </w:pPr>
            <w:r>
              <w:rPr>
                <w:rFonts w:ascii="Arial" w:cs="Arial" w:eastAsia="Arial" w:hAnsi="Arial"/>
                <w:sz w:val="13"/>
                <w:szCs w:val="13"/>
                <w:color w:val="auto"/>
              </w:rPr>
              <w:t>81829 München</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3"/>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Germany</w:t>
            </w:r>
          </w:p>
        </w:tc>
        <w:tc>
          <w:tcPr>
            <w:tcW w:w="1700" w:type="dxa"/>
            <w:vAlign w:val="bottom"/>
          </w:tcPr>
          <w:p>
            <w:pPr>
              <w:spacing w:after="0"/>
              <w:rPr>
                <w:sz w:val="13"/>
                <w:szCs w:val="13"/>
                <w:color w:val="auto"/>
              </w:rPr>
            </w:pPr>
          </w:p>
        </w:tc>
        <w:tc>
          <w:tcPr>
            <w:tcW w:w="2440" w:type="dxa"/>
            <w:vAlign w:val="bottom"/>
          </w:tcPr>
          <w:p>
            <w:pPr>
              <w:spacing w:after="0"/>
              <w:rPr>
                <w:sz w:val="13"/>
                <w:szCs w:val="13"/>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60"/>
          </w:cols>
          <w:pgMar w:left="300" w:top="696"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8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Nature of business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30"/>
        </w:trPr>
        <w:tc>
          <w:tcPr>
            <w:tcW w:w="40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ICON Clinical Research GmbH</w:t>
            </w:r>
          </w:p>
        </w:tc>
        <w:tc>
          <w:tcPr>
            <w:tcW w:w="30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Heinrich-Hertz-Straße 26,</w:t>
            </w:r>
          </w:p>
        </w:tc>
        <w:tc>
          <w:tcPr>
            <w:tcW w:w="182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63225,</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Langen,</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Hessen,</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Germany</w:t>
            </w:r>
          </w:p>
        </w:tc>
        <w:tc>
          <w:tcPr>
            <w:tcW w:w="18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Hong Kong Limited</w:t>
            </w:r>
          </w:p>
        </w:tc>
        <w:tc>
          <w:tcPr>
            <w:tcW w:w="3020" w:type="dxa"/>
            <w:vAlign w:val="bottom"/>
          </w:tcPr>
          <w:p>
            <w:pPr>
              <w:ind w:left="20"/>
              <w:spacing w:after="0" w:line="139" w:lineRule="exact"/>
              <w:rPr>
                <w:sz w:val="20"/>
                <w:szCs w:val="20"/>
                <w:color w:val="auto"/>
              </w:rPr>
            </w:pPr>
            <w:r>
              <w:rPr>
                <w:rFonts w:ascii="Arial" w:cs="Arial" w:eastAsia="Arial" w:hAnsi="Arial"/>
                <w:sz w:val="13"/>
                <w:szCs w:val="13"/>
                <w:color w:val="auto"/>
              </w:rPr>
              <w:t>Unit 4333 &amp; 4335C, 43/F,</w:t>
            </w:r>
          </w:p>
        </w:tc>
        <w:tc>
          <w:tcPr>
            <w:tcW w:w="1820" w:type="dxa"/>
            <w:vAlign w:val="bottom"/>
          </w:tcPr>
          <w:p>
            <w:pPr>
              <w:ind w:left="100"/>
              <w:spacing w:after="0" w:line="139"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AIA Tower,</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183 Electric Road,</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North Point,</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3"/>
        </w:trPr>
        <w:tc>
          <w:tcPr>
            <w:tcW w:w="4060" w:type="dxa"/>
            <w:vAlign w:val="bottom"/>
          </w:tcPr>
          <w:p>
            <w:pPr>
              <w:spacing w:after="0"/>
              <w:rPr>
                <w:sz w:val="13"/>
                <w:szCs w:val="13"/>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Hong Kong</w:t>
            </w:r>
          </w:p>
        </w:tc>
        <w:tc>
          <w:tcPr>
            <w:tcW w:w="18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74"/>
        </w:trPr>
        <w:tc>
          <w:tcPr>
            <w:tcW w:w="40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39"/>
        </w:trPr>
        <w:tc>
          <w:tcPr>
            <w:tcW w:w="406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ICON Klinikai Kutató Korlátolt Felelősségű Társaság</w:t>
            </w:r>
          </w:p>
        </w:tc>
        <w:tc>
          <w:tcPr>
            <w:tcW w:w="30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Váci út 47.</w:t>
            </w:r>
          </w:p>
        </w:tc>
        <w:tc>
          <w:tcPr>
            <w:tcW w:w="182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(ICON Clinical Research Limited Liability Company)</w:t>
            </w: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1134 Budapest,</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Hungary</w:t>
            </w:r>
          </w:p>
        </w:tc>
        <w:tc>
          <w:tcPr>
            <w:tcW w:w="18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India Private Limited</w:t>
            </w:r>
          </w:p>
        </w:tc>
        <w:tc>
          <w:tcPr>
            <w:tcW w:w="3020" w:type="dxa"/>
            <w:vAlign w:val="bottom"/>
          </w:tcPr>
          <w:p>
            <w:pPr>
              <w:ind w:left="20"/>
              <w:spacing w:after="0" w:line="139" w:lineRule="exact"/>
              <w:rPr>
                <w:sz w:val="20"/>
                <w:szCs w:val="20"/>
                <w:color w:val="auto"/>
              </w:rPr>
            </w:pPr>
            <w:r>
              <w:rPr>
                <w:rFonts w:ascii="Arial" w:cs="Arial" w:eastAsia="Arial" w:hAnsi="Arial"/>
                <w:sz w:val="13"/>
                <w:szCs w:val="13"/>
                <w:color w:val="auto"/>
                <w:w w:val="99"/>
              </w:rPr>
              <w:t>CHENNAI ONE IT PARK ITE/ITES SEZ North Block</w:t>
            </w:r>
          </w:p>
        </w:tc>
        <w:tc>
          <w:tcPr>
            <w:tcW w:w="1820" w:type="dxa"/>
            <w:vAlign w:val="bottom"/>
          </w:tcPr>
          <w:p>
            <w:pPr>
              <w:ind w:left="100"/>
              <w:spacing w:after="0" w:line="139"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Block B, 4th Floor, Thoraipakkam</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Chennai</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Tamil Nadu-TN</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600097</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India</w:t>
            </w:r>
          </w:p>
        </w:tc>
        <w:tc>
          <w:tcPr>
            <w:tcW w:w="18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Accellacare Limited</w:t>
            </w:r>
          </w:p>
        </w:tc>
        <w:tc>
          <w:tcPr>
            <w:tcW w:w="30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Republic of Ireland</w:t>
            </w:r>
          </w:p>
        </w:tc>
        <w:tc>
          <w:tcPr>
            <w:tcW w:w="18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DOCS Resourcing Limited</w:t>
            </w:r>
          </w:p>
        </w:tc>
        <w:tc>
          <w:tcPr>
            <w:tcW w:w="3020" w:type="dxa"/>
            <w:vAlign w:val="bottom"/>
          </w:tcPr>
          <w:p>
            <w:pPr>
              <w:ind w:left="20"/>
              <w:spacing w:after="0" w:line="139" w:lineRule="exact"/>
              <w:rPr>
                <w:sz w:val="20"/>
                <w:szCs w:val="20"/>
                <w:color w:val="auto"/>
              </w:rPr>
            </w:pPr>
            <w:r>
              <w:rPr>
                <w:rFonts w:ascii="Arial" w:cs="Arial" w:eastAsia="Arial" w:hAnsi="Arial"/>
                <w:sz w:val="13"/>
                <w:szCs w:val="13"/>
                <w:color w:val="auto"/>
              </w:rPr>
              <w:t>South County Business Park,</w:t>
            </w:r>
          </w:p>
        </w:tc>
        <w:tc>
          <w:tcPr>
            <w:tcW w:w="1820" w:type="dxa"/>
            <w:vAlign w:val="bottom"/>
          </w:tcPr>
          <w:p>
            <w:pPr>
              <w:ind w:left="100"/>
              <w:spacing w:after="0" w:line="139"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Republic of Ireland</w:t>
            </w:r>
          </w:p>
        </w:tc>
        <w:tc>
          <w:tcPr>
            <w:tcW w:w="18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(LR) Limited</w:t>
            </w:r>
          </w:p>
        </w:tc>
        <w:tc>
          <w:tcPr>
            <w:tcW w:w="30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Republic of Ireland</w:t>
            </w:r>
          </w:p>
        </w:tc>
        <w:tc>
          <w:tcPr>
            <w:tcW w:w="18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ICON Clinical International Unlimited Company</w:t>
            </w:r>
          </w:p>
        </w:tc>
        <w:tc>
          <w:tcPr>
            <w:tcW w:w="3020" w:type="dxa"/>
            <w:vAlign w:val="bottom"/>
          </w:tcPr>
          <w:p>
            <w:pPr>
              <w:ind w:left="20"/>
              <w:spacing w:after="0" w:line="139" w:lineRule="exact"/>
              <w:rPr>
                <w:sz w:val="20"/>
                <w:szCs w:val="20"/>
                <w:color w:val="auto"/>
              </w:rPr>
            </w:pPr>
            <w:r>
              <w:rPr>
                <w:rFonts w:ascii="Arial" w:cs="Arial" w:eastAsia="Arial" w:hAnsi="Arial"/>
                <w:sz w:val="13"/>
                <w:szCs w:val="13"/>
                <w:color w:val="auto"/>
              </w:rPr>
              <w:t>South County Business Park,</w:t>
            </w:r>
          </w:p>
        </w:tc>
        <w:tc>
          <w:tcPr>
            <w:tcW w:w="1820" w:type="dxa"/>
            <w:vAlign w:val="bottom"/>
          </w:tcPr>
          <w:p>
            <w:pPr>
              <w:ind w:left="100"/>
              <w:spacing w:after="0" w:line="139"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Republic of Ireland</w:t>
            </w:r>
          </w:p>
        </w:tc>
        <w:tc>
          <w:tcPr>
            <w:tcW w:w="18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Limited</w:t>
            </w:r>
          </w:p>
        </w:tc>
        <w:tc>
          <w:tcPr>
            <w:tcW w:w="30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Republic of Ireland</w:t>
            </w:r>
          </w:p>
        </w:tc>
        <w:tc>
          <w:tcPr>
            <w:tcW w:w="18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Property Development (Ireland) Limited</w:t>
            </w:r>
          </w:p>
        </w:tc>
        <w:tc>
          <w:tcPr>
            <w:tcW w:w="3020" w:type="dxa"/>
            <w:vAlign w:val="bottom"/>
          </w:tcPr>
          <w:p>
            <w:pPr>
              <w:ind w:left="20"/>
              <w:spacing w:after="0" w:line="139" w:lineRule="exact"/>
              <w:rPr>
                <w:sz w:val="20"/>
                <w:szCs w:val="20"/>
                <w:color w:val="auto"/>
              </w:rPr>
            </w:pPr>
            <w:r>
              <w:rPr>
                <w:rFonts w:ascii="Arial" w:cs="Arial" w:eastAsia="Arial" w:hAnsi="Arial"/>
                <w:sz w:val="13"/>
                <w:szCs w:val="13"/>
                <w:color w:val="auto"/>
              </w:rPr>
              <w:t>South County Business Park,</w:t>
            </w:r>
          </w:p>
        </w:tc>
        <w:tc>
          <w:tcPr>
            <w:tcW w:w="418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Property management company 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Republic of Ireland</w:t>
            </w:r>
          </w:p>
        </w:tc>
        <w:tc>
          <w:tcPr>
            <w:tcW w:w="18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Global Treasury Unlimited Company</w:t>
            </w:r>
          </w:p>
        </w:tc>
        <w:tc>
          <w:tcPr>
            <w:tcW w:w="30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color w:val="auto"/>
              </w:rPr>
              <w:t>Treasury Company</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Republic of Ireland</w:t>
            </w:r>
          </w:p>
        </w:tc>
        <w:tc>
          <w:tcPr>
            <w:tcW w:w="18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ICON Holdings Unlimited Company</w:t>
            </w:r>
          </w:p>
        </w:tc>
        <w:tc>
          <w:tcPr>
            <w:tcW w:w="3020" w:type="dxa"/>
            <w:vAlign w:val="bottom"/>
          </w:tcPr>
          <w:p>
            <w:pPr>
              <w:ind w:left="20"/>
              <w:spacing w:after="0" w:line="139" w:lineRule="exact"/>
              <w:rPr>
                <w:sz w:val="20"/>
                <w:szCs w:val="20"/>
                <w:color w:val="auto"/>
              </w:rPr>
            </w:pPr>
            <w:r>
              <w:rPr>
                <w:rFonts w:ascii="Arial" w:cs="Arial" w:eastAsia="Arial" w:hAnsi="Arial"/>
                <w:sz w:val="13"/>
                <w:szCs w:val="13"/>
                <w:color w:val="auto"/>
              </w:rPr>
              <w:t>South County Business Park,</w:t>
            </w:r>
          </w:p>
        </w:tc>
        <w:tc>
          <w:tcPr>
            <w:tcW w:w="1820" w:type="dxa"/>
            <w:vAlign w:val="bottom"/>
          </w:tcPr>
          <w:p>
            <w:pPr>
              <w:ind w:left="100"/>
              <w:spacing w:after="0" w:line="139" w:lineRule="exact"/>
              <w:rPr>
                <w:sz w:val="20"/>
                <w:szCs w:val="20"/>
                <w:color w:val="auto"/>
              </w:rPr>
            </w:pPr>
            <w:r>
              <w:rPr>
                <w:rFonts w:ascii="Arial" w:cs="Arial" w:eastAsia="Arial" w:hAnsi="Arial"/>
                <w:sz w:val="13"/>
                <w:szCs w:val="13"/>
                <w:color w:val="auto"/>
              </w:rPr>
              <w:t>Investment holding company</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Republic of Ireland</w:t>
            </w:r>
          </w:p>
        </w:tc>
        <w:tc>
          <w:tcPr>
            <w:tcW w:w="18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Holdings Clinical Research International Limited</w:t>
            </w:r>
          </w:p>
        </w:tc>
        <w:tc>
          <w:tcPr>
            <w:tcW w:w="30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color w:val="auto"/>
              </w:rPr>
              <w:t>Investment holding company</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Republic of Ireland</w:t>
            </w:r>
          </w:p>
        </w:tc>
        <w:tc>
          <w:tcPr>
            <w:tcW w:w="18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60"/>
          </w:cols>
          <w:pgMar w:left="300" w:top="696"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440" w:type="dxa"/>
            <w:vAlign w:val="bottom"/>
            <w:shd w:val="clear" w:color="auto" w:fill="CCEEFF"/>
          </w:tcPr>
          <w:p>
            <w:pPr>
              <w:ind w:left="700"/>
              <w:spacing w:after="0"/>
              <w:rPr>
                <w:sz w:val="20"/>
                <w:szCs w:val="20"/>
                <w:color w:val="auto"/>
              </w:rPr>
            </w:pPr>
            <w:r>
              <w:rPr>
                <w:rFonts w:ascii="Arial" w:cs="Arial" w:eastAsia="Arial" w:hAnsi="Arial"/>
                <w:sz w:val="13"/>
                <w:szCs w:val="13"/>
                <w:b w:val="1"/>
                <w:bCs w:val="1"/>
                <w:color w:val="auto"/>
              </w:rPr>
              <w:t>Registered Office</w:t>
            </w:r>
          </w:p>
        </w:tc>
        <w:tc>
          <w:tcPr>
            <w:tcW w:w="208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Nature of business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338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30"/>
        </w:trPr>
        <w:tc>
          <w:tcPr>
            <w:tcW w:w="3380" w:type="dxa"/>
            <w:vAlign w:val="bottom"/>
          </w:tcPr>
          <w:p>
            <w:pPr>
              <w:ind w:left="20"/>
              <w:spacing w:after="0" w:line="131" w:lineRule="exact"/>
              <w:rPr>
                <w:sz w:val="20"/>
                <w:szCs w:val="20"/>
                <w:color w:val="auto"/>
              </w:rPr>
            </w:pPr>
            <w:r>
              <w:rPr>
                <w:rFonts w:ascii="Arial" w:cs="Arial" w:eastAsia="Arial" w:hAnsi="Arial"/>
                <w:sz w:val="13"/>
                <w:szCs w:val="13"/>
                <w:color w:val="auto"/>
              </w:rPr>
              <w:t>ICON Investments Five Unlimited Company</w:t>
            </w:r>
          </w:p>
        </w:tc>
        <w:tc>
          <w:tcPr>
            <w:tcW w:w="3440" w:type="dxa"/>
            <w:vAlign w:val="bottom"/>
          </w:tcPr>
          <w:p>
            <w:pPr>
              <w:ind w:left="700"/>
              <w:spacing w:after="0" w:line="131" w:lineRule="exact"/>
              <w:rPr>
                <w:sz w:val="20"/>
                <w:szCs w:val="20"/>
                <w:color w:val="auto"/>
              </w:rPr>
            </w:pPr>
            <w:r>
              <w:rPr>
                <w:rFonts w:ascii="Arial" w:cs="Arial" w:eastAsia="Arial" w:hAnsi="Arial"/>
                <w:sz w:val="13"/>
                <w:szCs w:val="13"/>
                <w:color w:val="auto"/>
              </w:rPr>
              <w:t>South County Business Park,</w:t>
            </w:r>
          </w:p>
        </w:tc>
        <w:tc>
          <w:tcPr>
            <w:tcW w:w="2080" w:type="dxa"/>
            <w:vAlign w:val="bottom"/>
          </w:tcPr>
          <w:p>
            <w:pPr>
              <w:ind w:left="360"/>
              <w:spacing w:after="0" w:line="131" w:lineRule="exact"/>
              <w:rPr>
                <w:sz w:val="20"/>
                <w:szCs w:val="20"/>
                <w:color w:val="auto"/>
              </w:rPr>
            </w:pPr>
            <w:r>
              <w:rPr>
                <w:rFonts w:ascii="Arial" w:cs="Arial" w:eastAsia="Arial" w:hAnsi="Arial"/>
                <w:sz w:val="13"/>
                <w:szCs w:val="13"/>
                <w:color w:val="auto"/>
              </w:rPr>
              <w:t>Investment holding and</w:t>
            </w:r>
          </w:p>
        </w:tc>
        <w:tc>
          <w:tcPr>
            <w:tcW w:w="236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Leopardstown,</w:t>
            </w:r>
          </w:p>
        </w:tc>
        <w:tc>
          <w:tcPr>
            <w:tcW w:w="2080" w:type="dxa"/>
            <w:vAlign w:val="bottom"/>
          </w:tcPr>
          <w:p>
            <w:pPr>
              <w:ind w:left="360"/>
              <w:spacing w:after="0" w:line="128" w:lineRule="exact"/>
              <w:rPr>
                <w:sz w:val="20"/>
                <w:szCs w:val="20"/>
                <w:color w:val="auto"/>
              </w:rPr>
            </w:pPr>
            <w:r>
              <w:rPr>
                <w:rFonts w:ascii="Arial" w:cs="Arial" w:eastAsia="Arial" w:hAnsi="Arial"/>
                <w:sz w:val="13"/>
                <w:szCs w:val="13"/>
                <w:color w:val="auto"/>
              </w:rPr>
              <w:t>financing company</w:t>
            </w:r>
          </w:p>
        </w:tc>
        <w:tc>
          <w:tcPr>
            <w:tcW w:w="236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Dublin 18,</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3380" w:type="dxa"/>
            <w:vAlign w:val="bottom"/>
          </w:tcPr>
          <w:p>
            <w:pPr>
              <w:spacing w:after="0"/>
              <w:rPr>
                <w:sz w:val="13"/>
                <w:szCs w:val="13"/>
                <w:color w:val="auto"/>
              </w:rPr>
            </w:pPr>
          </w:p>
        </w:tc>
        <w:tc>
          <w:tcPr>
            <w:tcW w:w="3440" w:type="dxa"/>
            <w:vAlign w:val="bottom"/>
          </w:tcPr>
          <w:p>
            <w:pPr>
              <w:ind w:left="700"/>
              <w:spacing w:after="0"/>
              <w:rPr>
                <w:sz w:val="20"/>
                <w:szCs w:val="20"/>
                <w:color w:val="auto"/>
              </w:rPr>
            </w:pPr>
            <w:r>
              <w:rPr>
                <w:rFonts w:ascii="Arial" w:cs="Arial" w:eastAsia="Arial" w:hAnsi="Arial"/>
                <w:sz w:val="13"/>
                <w:szCs w:val="13"/>
                <w:color w:val="auto"/>
              </w:rPr>
              <w:t>Republic of Ireland</w:t>
            </w:r>
          </w:p>
        </w:tc>
        <w:tc>
          <w:tcPr>
            <w:tcW w:w="20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3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Investments Four Unlimited Company</w:t>
            </w:r>
          </w:p>
        </w:tc>
        <w:tc>
          <w:tcPr>
            <w:tcW w:w="3440" w:type="dxa"/>
            <w:vAlign w:val="bottom"/>
            <w:shd w:val="clear" w:color="auto" w:fill="CCEEFF"/>
          </w:tcPr>
          <w:p>
            <w:pPr>
              <w:ind w:left="700"/>
              <w:spacing w:after="0" w:line="142" w:lineRule="exact"/>
              <w:rPr>
                <w:sz w:val="20"/>
                <w:szCs w:val="20"/>
                <w:color w:val="auto"/>
              </w:rPr>
            </w:pPr>
            <w:r>
              <w:rPr>
                <w:rFonts w:ascii="Arial" w:cs="Arial" w:eastAsia="Arial" w:hAnsi="Arial"/>
                <w:sz w:val="13"/>
                <w:szCs w:val="13"/>
                <w:color w:val="auto"/>
              </w:rPr>
              <w:t>South County Business Park,</w:t>
            </w:r>
          </w:p>
        </w:tc>
        <w:tc>
          <w:tcPr>
            <w:tcW w:w="208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Investment holding and</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Leopardstown,</w:t>
            </w:r>
          </w:p>
        </w:tc>
        <w:tc>
          <w:tcPr>
            <w:tcW w:w="208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financing company</w:t>
            </w:r>
          </w:p>
        </w:tc>
        <w:tc>
          <w:tcPr>
            <w:tcW w:w="2360" w:type="dxa"/>
            <w:vAlign w:val="bottom"/>
            <w:shd w:val="clear" w:color="auto" w:fill="CCEEFF"/>
          </w:tcPr>
          <w:p>
            <w:pPr>
              <w:spacing w:after="0"/>
              <w:rPr>
                <w:sz w:val="11"/>
                <w:szCs w:val="11"/>
                <w:color w:val="auto"/>
              </w:rPr>
            </w:pP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Dublin 18,</w:t>
            </w:r>
          </w:p>
        </w:tc>
        <w:tc>
          <w:tcPr>
            <w:tcW w:w="2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3380" w:type="dxa"/>
            <w:vAlign w:val="bottom"/>
            <w:shd w:val="clear" w:color="auto" w:fill="CCEEFF"/>
          </w:tcPr>
          <w:p>
            <w:pPr>
              <w:spacing w:after="0"/>
              <w:rPr>
                <w:sz w:val="13"/>
                <w:szCs w:val="13"/>
                <w:color w:val="auto"/>
              </w:rPr>
            </w:pPr>
          </w:p>
        </w:tc>
        <w:tc>
          <w:tcPr>
            <w:tcW w:w="34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Republic of Ireland</w:t>
            </w:r>
          </w:p>
        </w:tc>
        <w:tc>
          <w:tcPr>
            <w:tcW w:w="208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338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Israel LTD.</w:t>
            </w:r>
          </w:p>
        </w:tc>
        <w:tc>
          <w:tcPr>
            <w:tcW w:w="3440" w:type="dxa"/>
            <w:vAlign w:val="bottom"/>
          </w:tcPr>
          <w:p>
            <w:pPr>
              <w:ind w:left="700"/>
              <w:spacing w:after="0" w:line="139" w:lineRule="exact"/>
              <w:rPr>
                <w:sz w:val="20"/>
                <w:szCs w:val="20"/>
                <w:color w:val="auto"/>
              </w:rPr>
            </w:pPr>
            <w:r>
              <w:rPr>
                <w:rFonts w:ascii="Arial" w:cs="Arial" w:eastAsia="Arial" w:hAnsi="Arial"/>
                <w:sz w:val="13"/>
                <w:szCs w:val="13"/>
                <w:color w:val="auto"/>
              </w:rPr>
              <w:t>6 Haba'al Shem Tov st.,</w:t>
            </w:r>
          </w:p>
        </w:tc>
        <w:tc>
          <w:tcPr>
            <w:tcW w:w="2080" w:type="dxa"/>
            <w:vAlign w:val="bottom"/>
          </w:tcPr>
          <w:p>
            <w:pPr>
              <w:ind w:left="360"/>
              <w:spacing w:after="0" w:line="139"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North Industrial Area,</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Lod,</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3380" w:type="dxa"/>
            <w:vAlign w:val="bottom"/>
          </w:tcPr>
          <w:p>
            <w:pPr>
              <w:spacing w:after="0"/>
              <w:rPr>
                <w:sz w:val="13"/>
                <w:szCs w:val="13"/>
                <w:color w:val="auto"/>
              </w:rPr>
            </w:pPr>
          </w:p>
        </w:tc>
        <w:tc>
          <w:tcPr>
            <w:tcW w:w="3440" w:type="dxa"/>
            <w:vAlign w:val="bottom"/>
          </w:tcPr>
          <w:p>
            <w:pPr>
              <w:ind w:left="700"/>
              <w:spacing w:after="0"/>
              <w:rPr>
                <w:sz w:val="20"/>
                <w:szCs w:val="20"/>
                <w:color w:val="auto"/>
              </w:rPr>
            </w:pPr>
            <w:r>
              <w:rPr>
                <w:rFonts w:ascii="Arial" w:cs="Arial" w:eastAsia="Arial" w:hAnsi="Arial"/>
                <w:sz w:val="13"/>
                <w:szCs w:val="13"/>
                <w:color w:val="auto"/>
              </w:rPr>
              <w:t>Israel, 7128906</w:t>
            </w:r>
          </w:p>
        </w:tc>
        <w:tc>
          <w:tcPr>
            <w:tcW w:w="20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3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Japan K.K.</w:t>
            </w:r>
          </w:p>
        </w:tc>
        <w:tc>
          <w:tcPr>
            <w:tcW w:w="3440" w:type="dxa"/>
            <w:vAlign w:val="bottom"/>
            <w:shd w:val="clear" w:color="auto" w:fill="CCEEFF"/>
          </w:tcPr>
          <w:p>
            <w:pPr>
              <w:ind w:left="700"/>
              <w:spacing w:after="0" w:line="142" w:lineRule="exact"/>
              <w:rPr>
                <w:sz w:val="20"/>
                <w:szCs w:val="20"/>
                <w:color w:val="auto"/>
              </w:rPr>
            </w:pPr>
            <w:r>
              <w:rPr>
                <w:rFonts w:ascii="Arial" w:cs="Arial" w:eastAsia="Arial" w:hAnsi="Arial"/>
                <w:sz w:val="13"/>
                <w:szCs w:val="13"/>
                <w:color w:val="auto"/>
              </w:rPr>
              <w:t>4-3-9 Toranomon,</w:t>
            </w:r>
          </w:p>
        </w:tc>
        <w:tc>
          <w:tcPr>
            <w:tcW w:w="208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Minato-ku</w:t>
            </w:r>
          </w:p>
        </w:tc>
        <w:tc>
          <w:tcPr>
            <w:tcW w:w="2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Tokyo,</w:t>
            </w:r>
          </w:p>
        </w:tc>
        <w:tc>
          <w:tcPr>
            <w:tcW w:w="2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3380" w:type="dxa"/>
            <w:vAlign w:val="bottom"/>
            <w:shd w:val="clear" w:color="auto" w:fill="CCEEFF"/>
          </w:tcPr>
          <w:p>
            <w:pPr>
              <w:spacing w:after="0"/>
              <w:rPr>
                <w:sz w:val="13"/>
                <w:szCs w:val="13"/>
                <w:color w:val="auto"/>
              </w:rPr>
            </w:pPr>
          </w:p>
        </w:tc>
        <w:tc>
          <w:tcPr>
            <w:tcW w:w="34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Japan</w:t>
            </w:r>
          </w:p>
        </w:tc>
        <w:tc>
          <w:tcPr>
            <w:tcW w:w="208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3380" w:type="dxa"/>
            <w:vAlign w:val="bottom"/>
          </w:tcPr>
          <w:p>
            <w:pPr>
              <w:ind w:left="20"/>
              <w:spacing w:after="0" w:line="139" w:lineRule="exact"/>
              <w:rPr>
                <w:sz w:val="20"/>
                <w:szCs w:val="20"/>
                <w:color w:val="auto"/>
              </w:rPr>
            </w:pPr>
            <w:r>
              <w:rPr>
                <w:rFonts w:ascii="Arial" w:cs="Arial" w:eastAsia="Arial" w:hAnsi="Arial"/>
                <w:sz w:val="13"/>
                <w:szCs w:val="13"/>
                <w:color w:val="auto"/>
              </w:rPr>
              <w:t>ICON Investments Limited</w:t>
            </w:r>
          </w:p>
        </w:tc>
        <w:tc>
          <w:tcPr>
            <w:tcW w:w="3440" w:type="dxa"/>
            <w:vAlign w:val="bottom"/>
          </w:tcPr>
          <w:p>
            <w:pPr>
              <w:ind w:left="700"/>
              <w:spacing w:after="0" w:line="139" w:lineRule="exact"/>
              <w:rPr>
                <w:sz w:val="20"/>
                <w:szCs w:val="20"/>
                <w:color w:val="auto"/>
              </w:rPr>
            </w:pPr>
            <w:r>
              <w:rPr>
                <w:rFonts w:ascii="Arial" w:cs="Arial" w:eastAsia="Arial" w:hAnsi="Arial"/>
                <w:sz w:val="13"/>
                <w:szCs w:val="13"/>
                <w:color w:val="auto"/>
              </w:rPr>
              <w:t>SG Hambros House</w:t>
            </w:r>
          </w:p>
        </w:tc>
        <w:tc>
          <w:tcPr>
            <w:tcW w:w="2080" w:type="dxa"/>
            <w:vAlign w:val="bottom"/>
          </w:tcPr>
          <w:p>
            <w:pPr>
              <w:ind w:left="360"/>
              <w:spacing w:after="0" w:line="139" w:lineRule="exact"/>
              <w:rPr>
                <w:sz w:val="20"/>
                <w:szCs w:val="20"/>
                <w:color w:val="auto"/>
              </w:rPr>
            </w:pPr>
            <w:r>
              <w:rPr>
                <w:rFonts w:ascii="Arial" w:cs="Arial" w:eastAsia="Arial" w:hAnsi="Arial"/>
                <w:sz w:val="13"/>
                <w:szCs w:val="13"/>
                <w:color w:val="auto"/>
              </w:rPr>
              <w:t>Investment holding company</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18 Esplanade</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St Helier</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JE4 8RT</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3380" w:type="dxa"/>
            <w:vAlign w:val="bottom"/>
          </w:tcPr>
          <w:p>
            <w:pPr>
              <w:spacing w:after="0"/>
              <w:rPr>
                <w:sz w:val="13"/>
                <w:szCs w:val="13"/>
                <w:color w:val="auto"/>
              </w:rPr>
            </w:pPr>
          </w:p>
        </w:tc>
        <w:tc>
          <w:tcPr>
            <w:tcW w:w="3440" w:type="dxa"/>
            <w:vAlign w:val="bottom"/>
          </w:tcPr>
          <w:p>
            <w:pPr>
              <w:ind w:left="700"/>
              <w:spacing w:after="0"/>
              <w:rPr>
                <w:sz w:val="20"/>
                <w:szCs w:val="20"/>
                <w:color w:val="auto"/>
              </w:rPr>
            </w:pPr>
            <w:r>
              <w:rPr>
                <w:rFonts w:ascii="Arial" w:cs="Arial" w:eastAsia="Arial" w:hAnsi="Arial"/>
                <w:sz w:val="13"/>
                <w:szCs w:val="13"/>
                <w:color w:val="auto"/>
              </w:rPr>
              <w:t>Jersey</w:t>
            </w:r>
          </w:p>
        </w:tc>
        <w:tc>
          <w:tcPr>
            <w:tcW w:w="20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3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Korea Yuhan Hoesa</w:t>
            </w:r>
          </w:p>
        </w:tc>
        <w:tc>
          <w:tcPr>
            <w:tcW w:w="3440" w:type="dxa"/>
            <w:vAlign w:val="bottom"/>
            <w:shd w:val="clear" w:color="auto" w:fill="CCEEFF"/>
          </w:tcPr>
          <w:p>
            <w:pPr>
              <w:ind w:left="700"/>
              <w:spacing w:after="0" w:line="142" w:lineRule="exact"/>
              <w:rPr>
                <w:sz w:val="20"/>
                <w:szCs w:val="20"/>
                <w:color w:val="auto"/>
              </w:rPr>
            </w:pPr>
            <w:r>
              <w:rPr>
                <w:rFonts w:ascii="Arial" w:cs="Arial" w:eastAsia="Arial" w:hAnsi="Arial"/>
                <w:sz w:val="13"/>
                <w:szCs w:val="13"/>
                <w:color w:val="auto"/>
              </w:rPr>
              <w:t>142 Taeheran-ro</w:t>
            </w:r>
          </w:p>
        </w:tc>
        <w:tc>
          <w:tcPr>
            <w:tcW w:w="208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Gangnam-gu,</w:t>
            </w:r>
          </w:p>
        </w:tc>
        <w:tc>
          <w:tcPr>
            <w:tcW w:w="2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18th Floor (Yeoksam-dong, Capital Tower)</w:t>
            </w:r>
          </w:p>
        </w:tc>
        <w:tc>
          <w:tcPr>
            <w:tcW w:w="2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Seoul</w:t>
            </w:r>
          </w:p>
        </w:tc>
        <w:tc>
          <w:tcPr>
            <w:tcW w:w="2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3380" w:type="dxa"/>
            <w:vAlign w:val="bottom"/>
            <w:shd w:val="clear" w:color="auto" w:fill="CCEEFF"/>
          </w:tcPr>
          <w:p>
            <w:pPr>
              <w:spacing w:after="0"/>
              <w:rPr>
                <w:sz w:val="13"/>
                <w:szCs w:val="13"/>
                <w:color w:val="auto"/>
              </w:rPr>
            </w:pPr>
          </w:p>
        </w:tc>
        <w:tc>
          <w:tcPr>
            <w:tcW w:w="34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Republic of Korea</w:t>
            </w:r>
          </w:p>
        </w:tc>
        <w:tc>
          <w:tcPr>
            <w:tcW w:w="208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3380" w:type="dxa"/>
            <w:vAlign w:val="bottom"/>
          </w:tcPr>
          <w:p>
            <w:pPr>
              <w:ind w:left="20"/>
              <w:spacing w:after="0" w:line="139" w:lineRule="exact"/>
              <w:rPr>
                <w:sz w:val="20"/>
                <w:szCs w:val="20"/>
                <w:color w:val="auto"/>
              </w:rPr>
            </w:pPr>
            <w:r>
              <w:rPr>
                <w:rFonts w:ascii="Arial" w:cs="Arial" w:eastAsia="Arial" w:hAnsi="Arial"/>
                <w:sz w:val="13"/>
                <w:szCs w:val="13"/>
                <w:color w:val="auto"/>
              </w:rPr>
              <w:t>ICON CRO Malaysia SDN. BHD.</w:t>
            </w:r>
          </w:p>
        </w:tc>
        <w:tc>
          <w:tcPr>
            <w:tcW w:w="3440" w:type="dxa"/>
            <w:vAlign w:val="bottom"/>
          </w:tcPr>
          <w:p>
            <w:pPr>
              <w:ind w:left="700"/>
              <w:spacing w:after="0" w:line="139" w:lineRule="exact"/>
              <w:rPr>
                <w:sz w:val="20"/>
                <w:szCs w:val="20"/>
                <w:color w:val="auto"/>
              </w:rPr>
            </w:pPr>
            <w:r>
              <w:rPr>
                <w:rFonts w:ascii="Arial" w:cs="Arial" w:eastAsia="Arial" w:hAnsi="Arial"/>
                <w:sz w:val="13"/>
                <w:szCs w:val="13"/>
                <w:color w:val="auto"/>
              </w:rPr>
              <w:t>Level 11,</w:t>
            </w:r>
          </w:p>
        </w:tc>
        <w:tc>
          <w:tcPr>
            <w:tcW w:w="2080" w:type="dxa"/>
            <w:vAlign w:val="bottom"/>
          </w:tcPr>
          <w:p>
            <w:pPr>
              <w:ind w:left="360"/>
              <w:spacing w:after="0" w:line="139"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1 Sentral,</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Jalan Rakyat ,</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Kuala Lumpur Sentral,</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50470 Kuala Lumpur,</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3380" w:type="dxa"/>
            <w:vAlign w:val="bottom"/>
          </w:tcPr>
          <w:p>
            <w:pPr>
              <w:spacing w:after="0"/>
              <w:rPr>
                <w:sz w:val="13"/>
                <w:szCs w:val="13"/>
                <w:color w:val="auto"/>
              </w:rPr>
            </w:pPr>
          </w:p>
        </w:tc>
        <w:tc>
          <w:tcPr>
            <w:tcW w:w="3440" w:type="dxa"/>
            <w:vAlign w:val="bottom"/>
          </w:tcPr>
          <w:p>
            <w:pPr>
              <w:ind w:left="700"/>
              <w:spacing w:after="0"/>
              <w:rPr>
                <w:sz w:val="20"/>
                <w:szCs w:val="20"/>
                <w:color w:val="auto"/>
              </w:rPr>
            </w:pPr>
            <w:r>
              <w:rPr>
                <w:rFonts w:ascii="Arial" w:cs="Arial" w:eastAsia="Arial" w:hAnsi="Arial"/>
                <w:sz w:val="13"/>
                <w:szCs w:val="13"/>
                <w:color w:val="auto"/>
              </w:rPr>
              <w:t>Malaysia</w:t>
            </w:r>
          </w:p>
        </w:tc>
        <w:tc>
          <w:tcPr>
            <w:tcW w:w="20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3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México, S.A. de C.V.</w:t>
            </w:r>
          </w:p>
        </w:tc>
        <w:tc>
          <w:tcPr>
            <w:tcW w:w="3440" w:type="dxa"/>
            <w:vAlign w:val="bottom"/>
            <w:shd w:val="clear" w:color="auto" w:fill="CCEEFF"/>
          </w:tcPr>
          <w:p>
            <w:pPr>
              <w:ind w:left="700"/>
              <w:spacing w:after="0" w:line="142" w:lineRule="exact"/>
              <w:rPr>
                <w:sz w:val="20"/>
                <w:szCs w:val="20"/>
                <w:color w:val="auto"/>
              </w:rPr>
            </w:pPr>
            <w:r>
              <w:rPr>
                <w:rFonts w:ascii="Arial" w:cs="Arial" w:eastAsia="Arial" w:hAnsi="Arial"/>
                <w:sz w:val="13"/>
                <w:szCs w:val="13"/>
                <w:color w:val="auto"/>
              </w:rPr>
              <w:t>Av. Barranca del Muerto 329 3rd Floor,</w:t>
            </w:r>
          </w:p>
        </w:tc>
        <w:tc>
          <w:tcPr>
            <w:tcW w:w="208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Col. San Jose Insugentes,</w:t>
            </w:r>
          </w:p>
        </w:tc>
        <w:tc>
          <w:tcPr>
            <w:tcW w:w="2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3380" w:type="dxa"/>
            <w:vAlign w:val="bottom"/>
            <w:shd w:val="clear" w:color="auto" w:fill="CCEEFF"/>
          </w:tcPr>
          <w:p>
            <w:pPr>
              <w:spacing w:after="0"/>
              <w:rPr>
                <w:sz w:val="13"/>
                <w:szCs w:val="13"/>
                <w:color w:val="auto"/>
              </w:rPr>
            </w:pPr>
          </w:p>
        </w:tc>
        <w:tc>
          <w:tcPr>
            <w:tcW w:w="34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03900 Mexico D.F.</w:t>
            </w:r>
          </w:p>
        </w:tc>
        <w:tc>
          <w:tcPr>
            <w:tcW w:w="208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3380" w:type="dxa"/>
            <w:vAlign w:val="bottom"/>
          </w:tcPr>
          <w:p>
            <w:pPr>
              <w:ind w:left="20"/>
              <w:spacing w:after="0" w:line="139" w:lineRule="exact"/>
              <w:rPr>
                <w:sz w:val="20"/>
                <w:szCs w:val="20"/>
                <w:color w:val="auto"/>
              </w:rPr>
            </w:pPr>
            <w:r>
              <w:rPr>
                <w:rFonts w:ascii="Arial" w:cs="Arial" w:eastAsia="Arial" w:hAnsi="Arial"/>
                <w:sz w:val="13"/>
                <w:szCs w:val="13"/>
                <w:color w:val="auto"/>
              </w:rPr>
              <w:t>DOCS Insourcing B.V.</w:t>
            </w:r>
          </w:p>
        </w:tc>
        <w:tc>
          <w:tcPr>
            <w:tcW w:w="3440" w:type="dxa"/>
            <w:vAlign w:val="bottom"/>
          </w:tcPr>
          <w:p>
            <w:pPr>
              <w:ind w:left="700"/>
              <w:spacing w:after="0" w:line="139" w:lineRule="exact"/>
              <w:rPr>
                <w:sz w:val="20"/>
                <w:szCs w:val="20"/>
                <w:color w:val="auto"/>
              </w:rPr>
            </w:pPr>
            <w:r>
              <w:rPr>
                <w:rFonts w:ascii="Arial" w:cs="Arial" w:eastAsia="Arial" w:hAnsi="Arial"/>
                <w:sz w:val="13"/>
                <w:szCs w:val="13"/>
                <w:color w:val="auto"/>
              </w:rPr>
              <w:t>Boeing Avenue 62-68,</w:t>
            </w:r>
          </w:p>
        </w:tc>
        <w:tc>
          <w:tcPr>
            <w:tcW w:w="2080" w:type="dxa"/>
            <w:vAlign w:val="bottom"/>
          </w:tcPr>
          <w:p>
            <w:pPr>
              <w:ind w:left="360"/>
              <w:spacing w:after="0" w:line="139"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1119PE Schiphol-Rijk,</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3380" w:type="dxa"/>
            <w:vAlign w:val="bottom"/>
          </w:tcPr>
          <w:p>
            <w:pPr>
              <w:spacing w:after="0"/>
              <w:rPr>
                <w:sz w:val="13"/>
                <w:szCs w:val="13"/>
                <w:color w:val="auto"/>
              </w:rPr>
            </w:pPr>
          </w:p>
        </w:tc>
        <w:tc>
          <w:tcPr>
            <w:tcW w:w="3440" w:type="dxa"/>
            <w:vAlign w:val="bottom"/>
          </w:tcPr>
          <w:p>
            <w:pPr>
              <w:ind w:left="700"/>
              <w:spacing w:after="0"/>
              <w:rPr>
                <w:sz w:val="20"/>
                <w:szCs w:val="20"/>
                <w:color w:val="auto"/>
              </w:rPr>
            </w:pPr>
            <w:r>
              <w:rPr>
                <w:rFonts w:ascii="Arial" w:cs="Arial" w:eastAsia="Arial" w:hAnsi="Arial"/>
                <w:sz w:val="13"/>
                <w:szCs w:val="13"/>
                <w:color w:val="auto"/>
              </w:rPr>
              <w:t>The Netherlands</w:t>
            </w:r>
          </w:p>
        </w:tc>
        <w:tc>
          <w:tcPr>
            <w:tcW w:w="20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3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DOCS International B.V.</w:t>
            </w:r>
          </w:p>
        </w:tc>
        <w:tc>
          <w:tcPr>
            <w:tcW w:w="3440" w:type="dxa"/>
            <w:vAlign w:val="bottom"/>
            <w:shd w:val="clear" w:color="auto" w:fill="CCEEFF"/>
          </w:tcPr>
          <w:p>
            <w:pPr>
              <w:ind w:left="700"/>
              <w:spacing w:after="0" w:line="142" w:lineRule="exact"/>
              <w:rPr>
                <w:sz w:val="20"/>
                <w:szCs w:val="20"/>
                <w:color w:val="auto"/>
              </w:rPr>
            </w:pPr>
            <w:r>
              <w:rPr>
                <w:rFonts w:ascii="Arial" w:cs="Arial" w:eastAsia="Arial" w:hAnsi="Arial"/>
                <w:sz w:val="13"/>
                <w:szCs w:val="13"/>
                <w:color w:val="auto"/>
              </w:rPr>
              <w:t>Boeing Avenue 62-68,</w:t>
            </w:r>
          </w:p>
        </w:tc>
        <w:tc>
          <w:tcPr>
            <w:tcW w:w="208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1119PE Schiphol-Rijk,</w:t>
            </w:r>
          </w:p>
        </w:tc>
        <w:tc>
          <w:tcPr>
            <w:tcW w:w="2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3380" w:type="dxa"/>
            <w:vAlign w:val="bottom"/>
            <w:shd w:val="clear" w:color="auto" w:fill="CCEEFF"/>
          </w:tcPr>
          <w:p>
            <w:pPr>
              <w:spacing w:after="0"/>
              <w:rPr>
                <w:sz w:val="13"/>
                <w:szCs w:val="13"/>
                <w:color w:val="auto"/>
              </w:rPr>
            </w:pPr>
          </w:p>
        </w:tc>
        <w:tc>
          <w:tcPr>
            <w:tcW w:w="34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The Netherlands</w:t>
            </w:r>
          </w:p>
        </w:tc>
        <w:tc>
          <w:tcPr>
            <w:tcW w:w="208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3380" w:type="dxa"/>
            <w:vAlign w:val="bottom"/>
          </w:tcPr>
          <w:p>
            <w:pPr>
              <w:ind w:left="20"/>
              <w:spacing w:after="0" w:line="139" w:lineRule="exact"/>
              <w:rPr>
                <w:sz w:val="20"/>
                <w:szCs w:val="20"/>
                <w:color w:val="auto"/>
              </w:rPr>
            </w:pPr>
            <w:r>
              <w:rPr>
                <w:rFonts w:ascii="Arial" w:cs="Arial" w:eastAsia="Arial" w:hAnsi="Arial"/>
                <w:sz w:val="13"/>
                <w:szCs w:val="13"/>
                <w:color w:val="auto"/>
              </w:rPr>
              <w:t>ICON Contracting Solutions Holdings B.V.</w:t>
            </w:r>
          </w:p>
        </w:tc>
        <w:tc>
          <w:tcPr>
            <w:tcW w:w="3440" w:type="dxa"/>
            <w:vAlign w:val="bottom"/>
          </w:tcPr>
          <w:p>
            <w:pPr>
              <w:ind w:left="700"/>
              <w:spacing w:after="0" w:line="139" w:lineRule="exact"/>
              <w:rPr>
                <w:sz w:val="20"/>
                <w:szCs w:val="20"/>
                <w:color w:val="auto"/>
              </w:rPr>
            </w:pPr>
            <w:r>
              <w:rPr>
                <w:rFonts w:ascii="Arial" w:cs="Arial" w:eastAsia="Arial" w:hAnsi="Arial"/>
                <w:sz w:val="13"/>
                <w:szCs w:val="13"/>
                <w:color w:val="auto"/>
              </w:rPr>
              <w:t>Boeing Avenue 62-68,</w:t>
            </w:r>
          </w:p>
        </w:tc>
        <w:tc>
          <w:tcPr>
            <w:tcW w:w="2080" w:type="dxa"/>
            <w:vAlign w:val="bottom"/>
          </w:tcPr>
          <w:p>
            <w:pPr>
              <w:ind w:left="360"/>
              <w:spacing w:after="0" w:line="139"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1119PE Schiphol-Rijk,</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55"/>
        </w:trPr>
        <w:tc>
          <w:tcPr>
            <w:tcW w:w="3380" w:type="dxa"/>
            <w:vAlign w:val="bottom"/>
          </w:tcPr>
          <w:p>
            <w:pPr>
              <w:spacing w:after="0"/>
              <w:rPr>
                <w:sz w:val="13"/>
                <w:szCs w:val="13"/>
                <w:color w:val="auto"/>
              </w:rPr>
            </w:pPr>
          </w:p>
        </w:tc>
        <w:tc>
          <w:tcPr>
            <w:tcW w:w="3440" w:type="dxa"/>
            <w:vAlign w:val="bottom"/>
          </w:tcPr>
          <w:p>
            <w:pPr>
              <w:ind w:left="700"/>
              <w:spacing w:after="0"/>
              <w:rPr>
                <w:sz w:val="20"/>
                <w:szCs w:val="20"/>
                <w:color w:val="auto"/>
              </w:rPr>
            </w:pPr>
            <w:r>
              <w:rPr>
                <w:rFonts w:ascii="Arial" w:cs="Arial" w:eastAsia="Arial" w:hAnsi="Arial"/>
                <w:sz w:val="13"/>
                <w:szCs w:val="13"/>
                <w:color w:val="auto"/>
              </w:rPr>
              <w:t>The Netherlands</w:t>
            </w:r>
          </w:p>
        </w:tc>
        <w:tc>
          <w:tcPr>
            <w:tcW w:w="20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2"/>
        </w:trPr>
        <w:tc>
          <w:tcPr>
            <w:tcW w:w="3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(New Zealand) Limited</w:t>
            </w:r>
          </w:p>
        </w:tc>
        <w:tc>
          <w:tcPr>
            <w:tcW w:w="3440" w:type="dxa"/>
            <w:vAlign w:val="bottom"/>
            <w:shd w:val="clear" w:color="auto" w:fill="CCEEFF"/>
          </w:tcPr>
          <w:p>
            <w:pPr>
              <w:ind w:left="700"/>
              <w:spacing w:after="0" w:line="142" w:lineRule="exact"/>
              <w:rPr>
                <w:sz w:val="20"/>
                <w:szCs w:val="20"/>
                <w:color w:val="auto"/>
              </w:rPr>
            </w:pPr>
            <w:r>
              <w:rPr>
                <w:rFonts w:ascii="Arial" w:cs="Arial" w:eastAsia="Arial" w:hAnsi="Arial"/>
                <w:sz w:val="13"/>
                <w:szCs w:val="13"/>
                <w:color w:val="auto"/>
              </w:rPr>
              <w:t>Plaza Level,</w:t>
            </w:r>
          </w:p>
        </w:tc>
        <w:tc>
          <w:tcPr>
            <w:tcW w:w="208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41 Shortland Street,</w:t>
            </w:r>
          </w:p>
        </w:tc>
        <w:tc>
          <w:tcPr>
            <w:tcW w:w="2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380" w:type="dxa"/>
            <w:vAlign w:val="bottom"/>
            <w:shd w:val="clear" w:color="auto" w:fill="CCEEFF"/>
          </w:tcPr>
          <w:p>
            <w:pPr>
              <w:spacing w:after="0"/>
              <w:rPr>
                <w:sz w:val="11"/>
                <w:szCs w:val="11"/>
                <w:color w:val="auto"/>
              </w:rPr>
            </w:pPr>
          </w:p>
        </w:tc>
        <w:tc>
          <w:tcPr>
            <w:tcW w:w="34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Auckland,</w:t>
            </w:r>
          </w:p>
        </w:tc>
        <w:tc>
          <w:tcPr>
            <w:tcW w:w="20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8"/>
        </w:trPr>
        <w:tc>
          <w:tcPr>
            <w:tcW w:w="3380" w:type="dxa"/>
            <w:vAlign w:val="bottom"/>
            <w:shd w:val="clear" w:color="auto" w:fill="CCEEFF"/>
          </w:tcPr>
          <w:p>
            <w:pPr>
              <w:spacing w:after="0"/>
              <w:rPr>
                <w:sz w:val="13"/>
                <w:szCs w:val="13"/>
                <w:color w:val="auto"/>
              </w:rPr>
            </w:pPr>
          </w:p>
        </w:tc>
        <w:tc>
          <w:tcPr>
            <w:tcW w:w="34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New Zealand 1010</w:t>
            </w:r>
          </w:p>
        </w:tc>
        <w:tc>
          <w:tcPr>
            <w:tcW w:w="208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39"/>
        </w:trPr>
        <w:tc>
          <w:tcPr>
            <w:tcW w:w="338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Perú S.A.</w:t>
            </w:r>
          </w:p>
        </w:tc>
        <w:tc>
          <w:tcPr>
            <w:tcW w:w="3440" w:type="dxa"/>
            <w:vAlign w:val="bottom"/>
          </w:tcPr>
          <w:p>
            <w:pPr>
              <w:ind w:left="700"/>
              <w:spacing w:after="0" w:line="139" w:lineRule="exact"/>
              <w:rPr>
                <w:sz w:val="20"/>
                <w:szCs w:val="20"/>
                <w:color w:val="auto"/>
              </w:rPr>
            </w:pPr>
            <w:r>
              <w:rPr>
                <w:rFonts w:ascii="Arial" w:cs="Arial" w:eastAsia="Arial" w:hAnsi="Arial"/>
                <w:sz w:val="13"/>
                <w:szCs w:val="13"/>
                <w:color w:val="auto"/>
              </w:rPr>
              <w:t>Av. Paseo de la Republica 5895,</w:t>
            </w:r>
          </w:p>
        </w:tc>
        <w:tc>
          <w:tcPr>
            <w:tcW w:w="2080" w:type="dxa"/>
            <w:vAlign w:val="bottom"/>
          </w:tcPr>
          <w:p>
            <w:pPr>
              <w:ind w:left="360"/>
              <w:spacing w:after="0" w:line="139"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Oficina 606,</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3440" w:type="dxa"/>
            <w:vAlign w:val="bottom"/>
          </w:tcPr>
          <w:p>
            <w:pPr>
              <w:ind w:left="700"/>
              <w:spacing w:after="0" w:line="128" w:lineRule="exact"/>
              <w:rPr>
                <w:sz w:val="20"/>
                <w:szCs w:val="20"/>
                <w:color w:val="auto"/>
              </w:rPr>
            </w:pPr>
            <w:r>
              <w:rPr>
                <w:rFonts w:ascii="Arial" w:cs="Arial" w:eastAsia="Arial" w:hAnsi="Arial"/>
                <w:sz w:val="13"/>
                <w:szCs w:val="13"/>
                <w:color w:val="auto"/>
              </w:rPr>
              <w:t>Miraflores,</w:t>
            </w:r>
          </w:p>
        </w:tc>
        <w:tc>
          <w:tcPr>
            <w:tcW w:w="2080" w:type="dxa"/>
            <w:vAlign w:val="bottom"/>
          </w:tcPr>
          <w:p>
            <w:pPr>
              <w:spacing w:after="0"/>
              <w:rPr>
                <w:sz w:val="11"/>
                <w:szCs w:val="11"/>
                <w:color w:val="auto"/>
              </w:rPr>
            </w:pPr>
          </w:p>
        </w:tc>
        <w:tc>
          <w:tcPr>
            <w:tcW w:w="2360" w:type="dxa"/>
            <w:vAlign w:val="bottom"/>
          </w:tcPr>
          <w:p>
            <w:pPr>
              <w:spacing w:after="0"/>
              <w:rPr>
                <w:sz w:val="11"/>
                <w:szCs w:val="11"/>
                <w:color w:val="auto"/>
              </w:rPr>
            </w:pPr>
          </w:p>
        </w:tc>
      </w:tr>
    </w:tbl>
    <w:p>
      <w:pPr>
        <w:ind w:left="4080"/>
        <w:spacing w:after="0" w:line="204" w:lineRule="auto"/>
        <w:rPr>
          <w:sz w:val="20"/>
          <w:szCs w:val="20"/>
          <w:color w:val="auto"/>
        </w:rPr>
      </w:pPr>
      <w:r>
        <w:rPr>
          <w:rFonts w:ascii="Arial" w:cs="Arial" w:eastAsia="Arial" w:hAnsi="Arial"/>
          <w:sz w:val="13"/>
          <w:szCs w:val="13"/>
          <w:color w:val="auto"/>
        </w:rPr>
        <w:t>Lima 18,</w:t>
      </w:r>
    </w:p>
    <w:p>
      <w:pPr>
        <w:ind w:left="4080"/>
        <w:spacing w:after="0"/>
        <w:rPr>
          <w:sz w:val="20"/>
          <w:szCs w:val="20"/>
          <w:color w:val="auto"/>
        </w:rPr>
      </w:pPr>
      <w:r>
        <w:rPr>
          <w:rFonts w:ascii="Arial" w:cs="Arial" w:eastAsia="Arial" w:hAnsi="Arial"/>
          <w:sz w:val="13"/>
          <w:szCs w:val="13"/>
          <w:color w:val="auto"/>
        </w:rPr>
        <w:t>Perú</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60"/>
          </w:cols>
          <w:pgMar w:left="300" w:top="696"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30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spacing w:after="0"/>
              <w:rPr>
                <w:sz w:val="14"/>
                <w:szCs w:val="14"/>
                <w:color w:val="auto"/>
              </w:rPr>
            </w:pPr>
          </w:p>
        </w:tc>
        <w:tc>
          <w:tcPr>
            <w:tcW w:w="23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30"/>
        </w:trPr>
        <w:tc>
          <w:tcPr>
            <w:tcW w:w="40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ICON Clinical Research Services Philippines, Inc.</w:t>
            </w:r>
          </w:p>
        </w:tc>
        <w:tc>
          <w:tcPr>
            <w:tcW w:w="24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24th Floor Salcedo Towers,</w:t>
            </w:r>
          </w:p>
        </w:tc>
        <w:tc>
          <w:tcPr>
            <w:tcW w:w="2300" w:type="dxa"/>
            <w:vAlign w:val="bottom"/>
            <w:shd w:val="clear" w:color="auto" w:fill="CCEEFF"/>
          </w:tcPr>
          <w:p>
            <w:pPr>
              <w:ind w:left="660"/>
              <w:spacing w:after="0" w:line="131"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169 H.V. Dela Costa Street,</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Salcedo Village,</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Makati City,</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Philippines 1227</w:t>
            </w:r>
          </w:p>
        </w:tc>
        <w:tc>
          <w:tcPr>
            <w:tcW w:w="23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DOCS International Poland Sp. z o.o.</w:t>
            </w:r>
          </w:p>
        </w:tc>
        <w:tc>
          <w:tcPr>
            <w:tcW w:w="2460" w:type="dxa"/>
            <w:vAlign w:val="bottom"/>
          </w:tcPr>
          <w:p>
            <w:pPr>
              <w:ind w:left="20"/>
              <w:spacing w:after="0" w:line="139" w:lineRule="exact"/>
              <w:rPr>
                <w:sz w:val="20"/>
                <w:szCs w:val="20"/>
                <w:color w:val="auto"/>
              </w:rPr>
            </w:pPr>
            <w:r>
              <w:rPr>
                <w:rFonts w:ascii="Arial" w:cs="Arial" w:eastAsia="Arial" w:hAnsi="Arial"/>
                <w:sz w:val="13"/>
                <w:szCs w:val="13"/>
                <w:color w:val="auto"/>
              </w:rPr>
              <w:t>Ul. Grojecka 5,</w:t>
            </w:r>
          </w:p>
        </w:tc>
        <w:tc>
          <w:tcPr>
            <w:tcW w:w="2300" w:type="dxa"/>
            <w:vAlign w:val="bottom"/>
          </w:tcPr>
          <w:p>
            <w:pPr>
              <w:ind w:left="6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02-019 Warsaw,</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Poland</w:t>
            </w:r>
          </w:p>
        </w:tc>
        <w:tc>
          <w:tcPr>
            <w:tcW w:w="23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Symphony Clinical Research Sp. z.o.o.</w:t>
            </w:r>
          </w:p>
        </w:tc>
        <w:tc>
          <w:tcPr>
            <w:tcW w:w="24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ul. Potokowa 26,</w:t>
            </w:r>
          </w:p>
        </w:tc>
        <w:tc>
          <w:tcPr>
            <w:tcW w:w="2300" w:type="dxa"/>
            <w:vAlign w:val="bottom"/>
            <w:shd w:val="clear" w:color="auto" w:fill="CCEEFF"/>
          </w:tcPr>
          <w:p>
            <w:pPr>
              <w:ind w:left="6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80-283</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Gdansk,</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Poland</w:t>
            </w:r>
          </w:p>
        </w:tc>
        <w:tc>
          <w:tcPr>
            <w:tcW w:w="23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S.R.L.</w:t>
            </w:r>
          </w:p>
        </w:tc>
        <w:tc>
          <w:tcPr>
            <w:tcW w:w="2460" w:type="dxa"/>
            <w:vAlign w:val="bottom"/>
          </w:tcPr>
          <w:p>
            <w:pPr>
              <w:ind w:left="20"/>
              <w:spacing w:after="0" w:line="139" w:lineRule="exact"/>
              <w:rPr>
                <w:sz w:val="20"/>
                <w:szCs w:val="20"/>
                <w:color w:val="auto"/>
              </w:rPr>
            </w:pPr>
            <w:r>
              <w:rPr>
                <w:rFonts w:ascii="Arial" w:cs="Arial" w:eastAsia="Arial" w:hAnsi="Arial"/>
                <w:sz w:val="13"/>
                <w:szCs w:val="13"/>
                <w:color w:val="auto"/>
              </w:rPr>
              <w:t>Calea Floreasca,</w:t>
            </w:r>
          </w:p>
        </w:tc>
        <w:tc>
          <w:tcPr>
            <w:tcW w:w="2300" w:type="dxa"/>
            <w:vAlign w:val="bottom"/>
          </w:tcPr>
          <w:p>
            <w:pPr>
              <w:ind w:left="6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Nr 133-137, Et. 3,</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Bucuruesti,</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Sector 1,</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Romania</w:t>
            </w:r>
          </w:p>
        </w:tc>
        <w:tc>
          <w:tcPr>
            <w:tcW w:w="23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(Rus) LLC</w:t>
            </w:r>
          </w:p>
        </w:tc>
        <w:tc>
          <w:tcPr>
            <w:tcW w:w="24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24D Smolnaya Street,</w:t>
            </w:r>
          </w:p>
        </w:tc>
        <w:tc>
          <w:tcPr>
            <w:tcW w:w="2300" w:type="dxa"/>
            <w:vAlign w:val="bottom"/>
            <w:shd w:val="clear" w:color="auto" w:fill="CCEEFF"/>
          </w:tcPr>
          <w:p>
            <w:pPr>
              <w:ind w:left="6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Moscow, 125445,</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Russian Federation</w:t>
            </w:r>
          </w:p>
        </w:tc>
        <w:tc>
          <w:tcPr>
            <w:tcW w:w="23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d.o.o. Beograd</w:t>
            </w:r>
          </w:p>
        </w:tc>
        <w:tc>
          <w:tcPr>
            <w:tcW w:w="2460" w:type="dxa"/>
            <w:vAlign w:val="bottom"/>
          </w:tcPr>
          <w:p>
            <w:pPr>
              <w:ind w:left="20"/>
              <w:spacing w:after="0" w:line="139" w:lineRule="exact"/>
              <w:rPr>
                <w:sz w:val="20"/>
                <w:szCs w:val="20"/>
                <w:color w:val="auto"/>
              </w:rPr>
            </w:pPr>
            <w:r>
              <w:rPr>
                <w:rFonts w:ascii="Arial" w:cs="Arial" w:eastAsia="Arial" w:hAnsi="Arial"/>
                <w:sz w:val="13"/>
                <w:szCs w:val="13"/>
                <w:color w:val="auto"/>
              </w:rPr>
              <w:t>4th Floor,</w:t>
            </w:r>
          </w:p>
        </w:tc>
        <w:tc>
          <w:tcPr>
            <w:tcW w:w="2300" w:type="dxa"/>
            <w:vAlign w:val="bottom"/>
          </w:tcPr>
          <w:p>
            <w:pPr>
              <w:ind w:left="6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Bulevar Zorana Djindjica 64a,</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11070 Belgrade,</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Serbia</w:t>
            </w:r>
          </w:p>
        </w:tc>
        <w:tc>
          <w:tcPr>
            <w:tcW w:w="23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(Pte) Limited</w:t>
            </w:r>
          </w:p>
        </w:tc>
        <w:tc>
          <w:tcPr>
            <w:tcW w:w="24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30 Loyang Way,</w:t>
            </w:r>
          </w:p>
        </w:tc>
        <w:tc>
          <w:tcPr>
            <w:tcW w:w="2300" w:type="dxa"/>
            <w:vAlign w:val="bottom"/>
            <w:shd w:val="clear" w:color="auto" w:fill="CCEEFF"/>
          </w:tcPr>
          <w:p>
            <w:pPr>
              <w:ind w:left="6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#02/12,</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Loyang Industrial Estate,</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508769,</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Singapore</w:t>
            </w:r>
          </w:p>
        </w:tc>
        <w:tc>
          <w:tcPr>
            <w:tcW w:w="23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Slovakia, s.r.o.</w:t>
            </w:r>
          </w:p>
        </w:tc>
        <w:tc>
          <w:tcPr>
            <w:tcW w:w="2460" w:type="dxa"/>
            <w:vAlign w:val="bottom"/>
          </w:tcPr>
          <w:p>
            <w:pPr>
              <w:ind w:left="20"/>
              <w:spacing w:after="0" w:line="139" w:lineRule="exact"/>
              <w:rPr>
                <w:sz w:val="20"/>
                <w:szCs w:val="20"/>
                <w:color w:val="auto"/>
              </w:rPr>
            </w:pPr>
            <w:r>
              <w:rPr>
                <w:rFonts w:ascii="Arial" w:cs="Arial" w:eastAsia="Arial" w:hAnsi="Arial"/>
                <w:sz w:val="13"/>
                <w:szCs w:val="13"/>
                <w:color w:val="auto"/>
              </w:rPr>
              <w:t>Suché m</w:t>
            </w:r>
            <w:r>
              <w:rPr>
                <w:rFonts w:ascii="MS PGothic" w:cs="MS PGothic" w:eastAsia="MS PGothic" w:hAnsi="MS PGothic"/>
                <w:sz w:val="13"/>
                <w:szCs w:val="13"/>
                <w:color w:val="auto"/>
              </w:rPr>
              <w:t>☒</w:t>
            </w:r>
            <w:r>
              <w:rPr>
                <w:rFonts w:ascii="Arial" w:cs="Arial" w:eastAsia="Arial" w:hAnsi="Arial"/>
                <w:sz w:val="13"/>
                <w:szCs w:val="13"/>
                <w:color w:val="auto"/>
              </w:rPr>
              <w:t>to 1,</w:t>
            </w:r>
          </w:p>
        </w:tc>
        <w:tc>
          <w:tcPr>
            <w:tcW w:w="2300" w:type="dxa"/>
            <w:vAlign w:val="bottom"/>
          </w:tcPr>
          <w:p>
            <w:pPr>
              <w:ind w:left="6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811 03 Bratislava,</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Slovak Republic</w:t>
            </w:r>
          </w:p>
        </w:tc>
        <w:tc>
          <w:tcPr>
            <w:tcW w:w="23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MeDiNova Merc Clinical Research (SA) Pty Limited***</w:t>
            </w:r>
          </w:p>
        </w:tc>
        <w:tc>
          <w:tcPr>
            <w:tcW w:w="24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Block 29 Second Floor</w:t>
            </w:r>
          </w:p>
        </w:tc>
        <w:tc>
          <w:tcPr>
            <w:tcW w:w="2300" w:type="dxa"/>
            <w:vAlign w:val="bottom"/>
            <w:shd w:val="clear" w:color="auto" w:fill="CCEEFF"/>
          </w:tcPr>
          <w:p>
            <w:pPr>
              <w:ind w:left="6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The Highlands Estate</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The Woodlands</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Woodlands Drive</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Woodmead, Gauteng</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2191</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Johannesburg</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Africa</w:t>
            </w:r>
          </w:p>
        </w:tc>
        <w:tc>
          <w:tcPr>
            <w:tcW w:w="23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España, S.L.</w:t>
            </w:r>
          </w:p>
        </w:tc>
        <w:tc>
          <w:tcPr>
            <w:tcW w:w="2460" w:type="dxa"/>
            <w:vAlign w:val="bottom"/>
          </w:tcPr>
          <w:p>
            <w:pPr>
              <w:ind w:left="20"/>
              <w:spacing w:after="0" w:line="139" w:lineRule="exact"/>
              <w:rPr>
                <w:sz w:val="20"/>
                <w:szCs w:val="20"/>
                <w:color w:val="auto"/>
              </w:rPr>
            </w:pPr>
            <w:r>
              <w:rPr>
                <w:rFonts w:ascii="Arial" w:cs="Arial" w:eastAsia="Arial" w:hAnsi="Arial"/>
                <w:sz w:val="13"/>
                <w:szCs w:val="13"/>
                <w:color w:val="auto"/>
              </w:rPr>
              <w:t>Calle Josep Pla,</w:t>
            </w:r>
          </w:p>
        </w:tc>
        <w:tc>
          <w:tcPr>
            <w:tcW w:w="2300" w:type="dxa"/>
            <w:vAlign w:val="bottom"/>
          </w:tcPr>
          <w:p>
            <w:pPr>
              <w:ind w:left="6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Numero 2, Torre Diagonal Mar,</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Piso 11, Modulo 1,</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Barcelona,</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Spain</w:t>
            </w:r>
          </w:p>
        </w:tc>
        <w:tc>
          <w:tcPr>
            <w:tcW w:w="23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MeDiNova Investigación y Desarrollo S.L. ****</w:t>
            </w:r>
          </w:p>
        </w:tc>
        <w:tc>
          <w:tcPr>
            <w:tcW w:w="24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Calle Marques de Valdavia 103,</w:t>
            </w:r>
          </w:p>
        </w:tc>
        <w:tc>
          <w:tcPr>
            <w:tcW w:w="2300" w:type="dxa"/>
            <w:vAlign w:val="bottom"/>
            <w:shd w:val="clear" w:color="auto" w:fill="CCEEFF"/>
          </w:tcPr>
          <w:p>
            <w:pPr>
              <w:ind w:left="66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Portal 5,</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28100 Alcobendas,</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Madrid,</w:t>
            </w:r>
          </w:p>
        </w:tc>
        <w:tc>
          <w:tcPr>
            <w:tcW w:w="23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Spain</w:t>
            </w:r>
          </w:p>
        </w:tc>
        <w:tc>
          <w:tcPr>
            <w:tcW w:w="23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DOCS International Sweden AB</w:t>
            </w:r>
          </w:p>
        </w:tc>
        <w:tc>
          <w:tcPr>
            <w:tcW w:w="2460" w:type="dxa"/>
            <w:vAlign w:val="bottom"/>
          </w:tcPr>
          <w:p>
            <w:pPr>
              <w:ind w:left="20"/>
              <w:spacing w:after="0" w:line="139" w:lineRule="exact"/>
              <w:rPr>
                <w:sz w:val="20"/>
                <w:szCs w:val="20"/>
                <w:color w:val="auto"/>
              </w:rPr>
            </w:pPr>
            <w:r>
              <w:rPr>
                <w:rFonts w:ascii="Arial" w:cs="Arial" w:eastAsia="Arial" w:hAnsi="Arial"/>
                <w:sz w:val="13"/>
                <w:szCs w:val="13"/>
                <w:color w:val="auto"/>
              </w:rPr>
              <w:t>Building B, Floor 10</w:t>
            </w:r>
          </w:p>
        </w:tc>
        <w:tc>
          <w:tcPr>
            <w:tcW w:w="2300" w:type="dxa"/>
            <w:vAlign w:val="bottom"/>
          </w:tcPr>
          <w:p>
            <w:pPr>
              <w:ind w:left="66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Klarabergsviadukten 90</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111 64 Stockholm</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3"/>
        </w:trPr>
        <w:tc>
          <w:tcPr>
            <w:tcW w:w="4060" w:type="dxa"/>
            <w:vAlign w:val="bottom"/>
          </w:tcPr>
          <w:p>
            <w:pPr>
              <w:spacing w:after="0"/>
              <w:rPr>
                <w:sz w:val="13"/>
                <w:szCs w:val="13"/>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Sweden</w:t>
            </w:r>
          </w:p>
        </w:tc>
        <w:tc>
          <w:tcPr>
            <w:tcW w:w="23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4"/>
        </w:trPr>
        <w:tc>
          <w:tcPr>
            <w:tcW w:w="4060" w:type="dxa"/>
            <w:vAlign w:val="bottom"/>
          </w:tcPr>
          <w:p>
            <w:pPr>
              <w:ind w:left="20"/>
              <w:spacing w:after="0" w:line="144" w:lineRule="exact"/>
              <w:rPr>
                <w:sz w:val="20"/>
                <w:szCs w:val="20"/>
                <w:color w:val="auto"/>
              </w:rPr>
            </w:pPr>
            <w:r>
              <w:rPr>
                <w:rFonts w:ascii="Arial" w:cs="Arial" w:eastAsia="Arial" w:hAnsi="Arial"/>
                <w:sz w:val="13"/>
                <w:szCs w:val="13"/>
                <w:color w:val="auto"/>
              </w:rPr>
              <w:t>DOCS International Switzerland GmbH</w:t>
            </w:r>
          </w:p>
        </w:tc>
        <w:tc>
          <w:tcPr>
            <w:tcW w:w="2460" w:type="dxa"/>
            <w:vAlign w:val="bottom"/>
          </w:tcPr>
          <w:p>
            <w:pPr>
              <w:ind w:left="20"/>
              <w:spacing w:after="0" w:line="144" w:lineRule="exact"/>
              <w:rPr>
                <w:sz w:val="20"/>
                <w:szCs w:val="20"/>
                <w:color w:val="auto"/>
              </w:rPr>
            </w:pPr>
            <w:r>
              <w:rPr>
                <w:rFonts w:ascii="Arial" w:cs="Arial" w:eastAsia="Arial" w:hAnsi="Arial"/>
                <w:sz w:val="13"/>
                <w:szCs w:val="13"/>
                <w:color w:val="auto"/>
              </w:rPr>
              <w:t>c/o Experfina AG</w:t>
            </w:r>
          </w:p>
        </w:tc>
        <w:tc>
          <w:tcPr>
            <w:tcW w:w="2300" w:type="dxa"/>
            <w:vAlign w:val="bottom"/>
          </w:tcPr>
          <w:p>
            <w:pPr>
              <w:ind w:left="660"/>
              <w:spacing w:after="0" w:line="144"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4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Picassoplatz 8</w:t>
            </w:r>
          </w:p>
        </w:tc>
        <w:tc>
          <w:tcPr>
            <w:tcW w:w="2300" w:type="dxa"/>
            <w:vAlign w:val="bottom"/>
          </w:tcPr>
          <w:p>
            <w:pPr>
              <w:spacing w:after="0"/>
              <w:rPr>
                <w:sz w:val="11"/>
                <w:szCs w:val="11"/>
                <w:color w:val="auto"/>
              </w:rPr>
            </w:pPr>
          </w:p>
        </w:tc>
        <w:tc>
          <w:tcPr>
            <w:tcW w:w="24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148195" cy="350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350520"/>
                    </a:xfrm>
                    <a:prstGeom prst="rect">
                      <a:avLst/>
                    </a:prstGeom>
                    <a:noFill/>
                  </pic:spPr>
                </pic:pic>
              </a:graphicData>
            </a:graphic>
          </wp:anchor>
        </w:drawing>
      </w:r>
    </w:p>
    <w:p>
      <w:pPr>
        <w:ind w:left="4080"/>
        <w:spacing w:after="0" w:line="204" w:lineRule="auto"/>
        <w:rPr>
          <w:sz w:val="20"/>
          <w:szCs w:val="20"/>
          <w:color w:val="auto"/>
        </w:rPr>
      </w:pPr>
      <w:r>
        <w:rPr>
          <w:rFonts w:ascii="Arial" w:cs="Arial" w:eastAsia="Arial" w:hAnsi="Arial"/>
          <w:sz w:val="13"/>
          <w:szCs w:val="13"/>
          <w:color w:val="auto"/>
        </w:rPr>
        <w:t>4052 Basel</w:t>
      </w:r>
    </w:p>
    <w:p>
      <w:pPr>
        <w:ind w:left="4080"/>
        <w:spacing w:after="0"/>
        <w:rPr>
          <w:sz w:val="20"/>
          <w:szCs w:val="20"/>
          <w:color w:val="auto"/>
        </w:rPr>
      </w:pPr>
      <w:r>
        <w:rPr>
          <w:rFonts w:ascii="Arial" w:cs="Arial" w:eastAsia="Arial" w:hAnsi="Arial"/>
          <w:sz w:val="13"/>
          <w:szCs w:val="13"/>
          <w:color w:val="auto"/>
        </w:rPr>
        <w:t>Switzerland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60"/>
          </w:cols>
          <w:pgMar w:left="300" w:top="696"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70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Registered Office</w:t>
            </w:r>
          </w:p>
        </w:tc>
        <w:tc>
          <w:tcPr>
            <w:tcW w:w="2480" w:type="dxa"/>
            <w:vAlign w:val="bottom"/>
            <w:shd w:val="clear" w:color="auto" w:fill="CCEEFF"/>
          </w:tcPr>
          <w:p>
            <w:pPr>
              <w:ind w:left="84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3640" w:type="dxa"/>
            <w:vAlign w:val="bottom"/>
            <w:tcBorders>
              <w:bottom w:val="single" w:sz="8" w:color="auto"/>
            </w:tcBorders>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spacing w:after="0"/>
              <w:rPr>
                <w:sz w:val="14"/>
                <w:szCs w:val="14"/>
                <w:color w:val="auto"/>
              </w:rPr>
            </w:pPr>
          </w:p>
        </w:tc>
        <w:tc>
          <w:tcPr>
            <w:tcW w:w="248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30"/>
        </w:trPr>
        <w:tc>
          <w:tcPr>
            <w:tcW w:w="364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(Switzerland) GmbH</w:t>
            </w:r>
          </w:p>
        </w:tc>
        <w:tc>
          <w:tcPr>
            <w:tcW w:w="2700" w:type="dxa"/>
            <w:vAlign w:val="bottom"/>
          </w:tcPr>
          <w:p>
            <w:pPr>
              <w:ind w:left="440"/>
              <w:spacing w:after="0" w:line="131" w:lineRule="exact"/>
              <w:rPr>
                <w:sz w:val="20"/>
                <w:szCs w:val="20"/>
                <w:color w:val="auto"/>
              </w:rPr>
            </w:pPr>
            <w:r>
              <w:rPr>
                <w:rFonts w:ascii="Arial" w:cs="Arial" w:eastAsia="Arial" w:hAnsi="Arial"/>
                <w:sz w:val="13"/>
                <w:szCs w:val="13"/>
                <w:color w:val="auto"/>
              </w:rPr>
              <w:t>c/o Experfina AG</w:t>
            </w:r>
          </w:p>
        </w:tc>
        <w:tc>
          <w:tcPr>
            <w:tcW w:w="2480" w:type="dxa"/>
            <w:vAlign w:val="bottom"/>
          </w:tcPr>
          <w:p>
            <w:pPr>
              <w:ind w:left="840"/>
              <w:spacing w:after="0" w:line="131"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Picassoplatz 8</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4052 Basel</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640" w:type="dxa"/>
            <w:vAlign w:val="bottom"/>
          </w:tcPr>
          <w:p>
            <w:pPr>
              <w:spacing w:after="0"/>
              <w:rPr>
                <w:sz w:val="13"/>
                <w:szCs w:val="13"/>
                <w:color w:val="auto"/>
              </w:rPr>
            </w:pPr>
          </w:p>
        </w:tc>
        <w:tc>
          <w:tcPr>
            <w:tcW w:w="2700" w:type="dxa"/>
            <w:vAlign w:val="bottom"/>
          </w:tcPr>
          <w:p>
            <w:pPr>
              <w:ind w:left="440"/>
              <w:spacing w:after="0"/>
              <w:rPr>
                <w:sz w:val="20"/>
                <w:szCs w:val="20"/>
                <w:color w:val="auto"/>
              </w:rPr>
            </w:pPr>
            <w:r>
              <w:rPr>
                <w:rFonts w:ascii="Arial" w:cs="Arial" w:eastAsia="Arial" w:hAnsi="Arial"/>
                <w:sz w:val="13"/>
                <w:szCs w:val="13"/>
                <w:color w:val="auto"/>
              </w:rPr>
              <w:t>Switzerland</w:t>
            </w:r>
          </w:p>
        </w:tc>
        <w:tc>
          <w:tcPr>
            <w:tcW w:w="24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6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Taiwan Limited</w:t>
            </w:r>
          </w:p>
        </w:tc>
        <w:tc>
          <w:tcPr>
            <w:tcW w:w="2700" w:type="dxa"/>
            <w:vAlign w:val="bottom"/>
            <w:shd w:val="clear" w:color="auto" w:fill="CCEEFF"/>
          </w:tcPr>
          <w:p>
            <w:pPr>
              <w:ind w:left="440"/>
              <w:spacing w:after="0" w:line="142" w:lineRule="exact"/>
              <w:rPr>
                <w:sz w:val="20"/>
                <w:szCs w:val="20"/>
                <w:color w:val="auto"/>
              </w:rPr>
            </w:pPr>
            <w:r>
              <w:rPr>
                <w:rFonts w:ascii="Arial" w:cs="Arial" w:eastAsia="Arial" w:hAnsi="Arial"/>
                <w:sz w:val="13"/>
                <w:szCs w:val="13"/>
                <w:color w:val="auto"/>
              </w:rPr>
              <w:t>2F, No. 96, Sec. 1,</w:t>
            </w:r>
          </w:p>
        </w:tc>
        <w:tc>
          <w:tcPr>
            <w:tcW w:w="2480" w:type="dxa"/>
            <w:vAlign w:val="bottom"/>
            <w:shd w:val="clear" w:color="auto" w:fill="CCEEFF"/>
          </w:tcPr>
          <w:p>
            <w:pPr>
              <w:ind w:left="8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Chien Kou North Road,</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Taipei 10495,</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640" w:type="dxa"/>
            <w:vAlign w:val="bottom"/>
            <w:shd w:val="clear" w:color="auto" w:fill="CCEEFF"/>
          </w:tcPr>
          <w:p>
            <w:pPr>
              <w:spacing w:after="0"/>
              <w:rPr>
                <w:sz w:val="13"/>
                <w:szCs w:val="13"/>
                <w:color w:val="auto"/>
              </w:rPr>
            </w:pPr>
          </w:p>
        </w:tc>
        <w:tc>
          <w:tcPr>
            <w:tcW w:w="27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Taiwan, R.O.C.</w:t>
            </w:r>
          </w:p>
        </w:tc>
        <w:tc>
          <w:tcPr>
            <w:tcW w:w="24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64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(Thailand) Limited</w:t>
            </w:r>
          </w:p>
        </w:tc>
        <w:tc>
          <w:tcPr>
            <w:tcW w:w="2700" w:type="dxa"/>
            <w:vAlign w:val="bottom"/>
          </w:tcPr>
          <w:p>
            <w:pPr>
              <w:ind w:left="440"/>
              <w:spacing w:after="0" w:line="139" w:lineRule="exact"/>
              <w:rPr>
                <w:sz w:val="20"/>
                <w:szCs w:val="20"/>
                <w:color w:val="auto"/>
              </w:rPr>
            </w:pPr>
            <w:r>
              <w:rPr>
                <w:rFonts w:ascii="Arial" w:cs="Arial" w:eastAsia="Arial" w:hAnsi="Arial"/>
                <w:sz w:val="13"/>
                <w:szCs w:val="13"/>
                <w:color w:val="auto"/>
              </w:rPr>
              <w:t>1 Empire Tower,</w:t>
            </w:r>
          </w:p>
        </w:tc>
        <w:tc>
          <w:tcPr>
            <w:tcW w:w="2480" w:type="dxa"/>
            <w:vAlign w:val="bottom"/>
          </w:tcPr>
          <w:p>
            <w:pPr>
              <w:ind w:left="84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24th Floor, Unit 2408,</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South Sathorn Road,</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Yannawa, Sathorn,</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Bangkok, 10120</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640" w:type="dxa"/>
            <w:vAlign w:val="bottom"/>
          </w:tcPr>
          <w:p>
            <w:pPr>
              <w:spacing w:after="0"/>
              <w:rPr>
                <w:sz w:val="13"/>
                <w:szCs w:val="13"/>
                <w:color w:val="auto"/>
              </w:rPr>
            </w:pPr>
          </w:p>
        </w:tc>
        <w:tc>
          <w:tcPr>
            <w:tcW w:w="2700" w:type="dxa"/>
            <w:vAlign w:val="bottom"/>
          </w:tcPr>
          <w:p>
            <w:pPr>
              <w:ind w:left="440"/>
              <w:spacing w:after="0"/>
              <w:rPr>
                <w:sz w:val="20"/>
                <w:szCs w:val="20"/>
                <w:color w:val="auto"/>
              </w:rPr>
            </w:pPr>
            <w:r>
              <w:rPr>
                <w:rFonts w:ascii="Arial" w:cs="Arial" w:eastAsia="Arial" w:hAnsi="Arial"/>
                <w:sz w:val="13"/>
                <w:szCs w:val="13"/>
                <w:color w:val="auto"/>
              </w:rPr>
              <w:t>Thailand</w:t>
            </w:r>
          </w:p>
        </w:tc>
        <w:tc>
          <w:tcPr>
            <w:tcW w:w="24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6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Ankara Klinik Arastirma Dis Ticaret Anonim Sirketi</w:t>
            </w:r>
          </w:p>
        </w:tc>
        <w:tc>
          <w:tcPr>
            <w:tcW w:w="2700" w:type="dxa"/>
            <w:vAlign w:val="bottom"/>
            <w:shd w:val="clear" w:color="auto" w:fill="CCEEFF"/>
          </w:tcPr>
          <w:p>
            <w:pPr>
              <w:ind w:left="440"/>
              <w:spacing w:after="0" w:line="142" w:lineRule="exact"/>
              <w:rPr>
                <w:sz w:val="20"/>
                <w:szCs w:val="20"/>
                <w:color w:val="auto"/>
              </w:rPr>
            </w:pPr>
            <w:r>
              <w:rPr>
                <w:rFonts w:ascii="Arial" w:cs="Arial" w:eastAsia="Arial" w:hAnsi="Arial"/>
                <w:sz w:val="13"/>
                <w:szCs w:val="13"/>
                <w:color w:val="auto"/>
              </w:rPr>
              <w:t>Sogutozu mah,</w:t>
            </w:r>
          </w:p>
        </w:tc>
        <w:tc>
          <w:tcPr>
            <w:tcW w:w="2480" w:type="dxa"/>
            <w:vAlign w:val="bottom"/>
            <w:shd w:val="clear" w:color="auto" w:fill="CCEEFF"/>
          </w:tcPr>
          <w:p>
            <w:pPr>
              <w:ind w:left="8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Eskisehir Yolu Cad.2176.,</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SK No.9,</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Posta Kodu: 06510,</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Cankaya Ankara,</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640" w:type="dxa"/>
            <w:vAlign w:val="bottom"/>
            <w:shd w:val="clear" w:color="auto" w:fill="CCEEFF"/>
          </w:tcPr>
          <w:p>
            <w:pPr>
              <w:spacing w:after="0"/>
              <w:rPr>
                <w:sz w:val="13"/>
                <w:szCs w:val="13"/>
                <w:color w:val="auto"/>
              </w:rPr>
            </w:pPr>
          </w:p>
        </w:tc>
        <w:tc>
          <w:tcPr>
            <w:tcW w:w="27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Turkey</w:t>
            </w:r>
          </w:p>
        </w:tc>
        <w:tc>
          <w:tcPr>
            <w:tcW w:w="24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640" w:type="dxa"/>
            <w:vAlign w:val="bottom"/>
          </w:tcPr>
          <w:p>
            <w:pPr>
              <w:ind w:left="20"/>
              <w:spacing w:after="0" w:line="139" w:lineRule="exact"/>
              <w:rPr>
                <w:sz w:val="20"/>
                <w:szCs w:val="20"/>
                <w:color w:val="auto"/>
              </w:rPr>
            </w:pPr>
            <w:r>
              <w:rPr>
                <w:rFonts w:ascii="Arial" w:cs="Arial" w:eastAsia="Arial" w:hAnsi="Arial"/>
                <w:sz w:val="13"/>
                <w:szCs w:val="13"/>
                <w:color w:val="auto"/>
              </w:rPr>
              <w:t>DOCS Ukraine LLC</w:t>
            </w:r>
          </w:p>
        </w:tc>
        <w:tc>
          <w:tcPr>
            <w:tcW w:w="2700" w:type="dxa"/>
            <w:vAlign w:val="bottom"/>
          </w:tcPr>
          <w:p>
            <w:pPr>
              <w:ind w:left="440"/>
              <w:spacing w:after="0" w:line="139" w:lineRule="exact"/>
              <w:rPr>
                <w:sz w:val="20"/>
                <w:szCs w:val="20"/>
                <w:color w:val="auto"/>
              </w:rPr>
            </w:pPr>
            <w:r>
              <w:rPr>
                <w:rFonts w:ascii="Arial" w:cs="Arial" w:eastAsia="Arial" w:hAnsi="Arial"/>
                <w:sz w:val="13"/>
                <w:szCs w:val="13"/>
                <w:color w:val="auto"/>
              </w:rPr>
              <w:t>4th Floor,</w:t>
            </w:r>
          </w:p>
        </w:tc>
        <w:tc>
          <w:tcPr>
            <w:tcW w:w="2480" w:type="dxa"/>
            <w:vAlign w:val="bottom"/>
          </w:tcPr>
          <w:p>
            <w:pPr>
              <w:ind w:left="84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St. Poleva 24,</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Kiev,</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640" w:type="dxa"/>
            <w:vAlign w:val="bottom"/>
          </w:tcPr>
          <w:p>
            <w:pPr>
              <w:spacing w:after="0"/>
              <w:rPr>
                <w:sz w:val="13"/>
                <w:szCs w:val="13"/>
                <w:color w:val="auto"/>
              </w:rPr>
            </w:pPr>
          </w:p>
        </w:tc>
        <w:tc>
          <w:tcPr>
            <w:tcW w:w="2700" w:type="dxa"/>
            <w:vAlign w:val="bottom"/>
          </w:tcPr>
          <w:p>
            <w:pPr>
              <w:ind w:left="440"/>
              <w:spacing w:after="0"/>
              <w:rPr>
                <w:sz w:val="20"/>
                <w:szCs w:val="20"/>
                <w:color w:val="auto"/>
              </w:rPr>
            </w:pPr>
            <w:r>
              <w:rPr>
                <w:rFonts w:ascii="Arial" w:cs="Arial" w:eastAsia="Arial" w:hAnsi="Arial"/>
                <w:sz w:val="13"/>
                <w:szCs w:val="13"/>
                <w:color w:val="auto"/>
              </w:rPr>
              <w:t>Ukraine, 03056</w:t>
            </w:r>
          </w:p>
        </w:tc>
        <w:tc>
          <w:tcPr>
            <w:tcW w:w="24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6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LLC</w:t>
            </w:r>
          </w:p>
        </w:tc>
        <w:tc>
          <w:tcPr>
            <w:tcW w:w="2700" w:type="dxa"/>
            <w:vAlign w:val="bottom"/>
            <w:shd w:val="clear" w:color="auto" w:fill="CCEEFF"/>
          </w:tcPr>
          <w:p>
            <w:pPr>
              <w:ind w:left="440"/>
              <w:spacing w:after="0" w:line="142" w:lineRule="exact"/>
              <w:rPr>
                <w:sz w:val="20"/>
                <w:szCs w:val="20"/>
                <w:color w:val="auto"/>
              </w:rPr>
            </w:pPr>
            <w:r>
              <w:rPr>
                <w:rFonts w:ascii="Arial" w:cs="Arial" w:eastAsia="Arial" w:hAnsi="Arial"/>
                <w:sz w:val="13"/>
                <w:szCs w:val="13"/>
                <w:color w:val="auto"/>
              </w:rPr>
              <w:t>4th Floor,</w:t>
            </w:r>
          </w:p>
        </w:tc>
        <w:tc>
          <w:tcPr>
            <w:tcW w:w="2480" w:type="dxa"/>
            <w:vAlign w:val="bottom"/>
            <w:shd w:val="clear" w:color="auto" w:fill="CCEEFF"/>
          </w:tcPr>
          <w:p>
            <w:pPr>
              <w:ind w:left="8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St. Poleva 24,</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Kiev,</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640" w:type="dxa"/>
            <w:vAlign w:val="bottom"/>
            <w:shd w:val="clear" w:color="auto" w:fill="CCEEFF"/>
          </w:tcPr>
          <w:p>
            <w:pPr>
              <w:spacing w:after="0"/>
              <w:rPr>
                <w:sz w:val="13"/>
                <w:szCs w:val="13"/>
                <w:color w:val="auto"/>
              </w:rPr>
            </w:pPr>
          </w:p>
        </w:tc>
        <w:tc>
          <w:tcPr>
            <w:tcW w:w="27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Ukraine, 03056</w:t>
            </w:r>
          </w:p>
        </w:tc>
        <w:tc>
          <w:tcPr>
            <w:tcW w:w="24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640" w:type="dxa"/>
            <w:vAlign w:val="bottom"/>
          </w:tcPr>
          <w:p>
            <w:pPr>
              <w:ind w:left="20"/>
              <w:spacing w:after="0" w:line="139" w:lineRule="exact"/>
              <w:rPr>
                <w:sz w:val="20"/>
                <w:szCs w:val="20"/>
                <w:color w:val="auto"/>
              </w:rPr>
            </w:pPr>
            <w:r>
              <w:rPr>
                <w:rFonts w:ascii="Arial" w:cs="Arial" w:eastAsia="Arial" w:hAnsi="Arial"/>
                <w:sz w:val="13"/>
                <w:szCs w:val="13"/>
                <w:color w:val="auto"/>
              </w:rPr>
              <w:t>DOCS International UK Limited</w:t>
            </w:r>
          </w:p>
        </w:tc>
        <w:tc>
          <w:tcPr>
            <w:tcW w:w="2700" w:type="dxa"/>
            <w:vAlign w:val="bottom"/>
          </w:tcPr>
          <w:p>
            <w:pPr>
              <w:ind w:left="440"/>
              <w:spacing w:after="0" w:line="139" w:lineRule="exact"/>
              <w:rPr>
                <w:sz w:val="20"/>
                <w:szCs w:val="20"/>
                <w:color w:val="auto"/>
              </w:rPr>
            </w:pPr>
            <w:r>
              <w:rPr>
                <w:rFonts w:ascii="Arial" w:cs="Arial" w:eastAsia="Arial" w:hAnsi="Arial"/>
                <w:sz w:val="13"/>
                <w:szCs w:val="13"/>
                <w:color w:val="auto"/>
              </w:rPr>
              <w:t>Concept House,</w:t>
            </w:r>
          </w:p>
        </w:tc>
        <w:tc>
          <w:tcPr>
            <w:tcW w:w="2480" w:type="dxa"/>
            <w:vAlign w:val="bottom"/>
          </w:tcPr>
          <w:p>
            <w:pPr>
              <w:ind w:left="84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6 Stoneycroft Rise,</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Chandlers Ford,</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Eastleigh,</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Hampshire,</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SO53 3LD</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640" w:type="dxa"/>
            <w:vAlign w:val="bottom"/>
          </w:tcPr>
          <w:p>
            <w:pPr>
              <w:spacing w:after="0"/>
              <w:rPr>
                <w:sz w:val="13"/>
                <w:szCs w:val="13"/>
                <w:color w:val="auto"/>
              </w:rPr>
            </w:pPr>
          </w:p>
        </w:tc>
        <w:tc>
          <w:tcPr>
            <w:tcW w:w="270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4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6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(U.K.) Limited</w:t>
            </w:r>
          </w:p>
        </w:tc>
        <w:tc>
          <w:tcPr>
            <w:tcW w:w="2700" w:type="dxa"/>
            <w:vAlign w:val="bottom"/>
            <w:shd w:val="clear" w:color="auto" w:fill="CCEEFF"/>
          </w:tcPr>
          <w:p>
            <w:pPr>
              <w:ind w:left="440"/>
              <w:spacing w:after="0" w:line="142" w:lineRule="exact"/>
              <w:rPr>
                <w:sz w:val="20"/>
                <w:szCs w:val="20"/>
                <w:color w:val="auto"/>
              </w:rPr>
            </w:pPr>
            <w:r>
              <w:rPr>
                <w:rFonts w:ascii="Arial" w:cs="Arial" w:eastAsia="Arial" w:hAnsi="Arial"/>
                <w:sz w:val="13"/>
                <w:szCs w:val="13"/>
                <w:color w:val="auto"/>
              </w:rPr>
              <w:t>Concept House,</w:t>
            </w:r>
          </w:p>
        </w:tc>
        <w:tc>
          <w:tcPr>
            <w:tcW w:w="2480" w:type="dxa"/>
            <w:vAlign w:val="bottom"/>
            <w:shd w:val="clear" w:color="auto" w:fill="CCEEFF"/>
          </w:tcPr>
          <w:p>
            <w:pPr>
              <w:ind w:left="8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6 Stoneycroft Rise,</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Chandlers Ford,</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Eastleigh,</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Hampshire,</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SO53 3LD</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640" w:type="dxa"/>
            <w:vAlign w:val="bottom"/>
            <w:shd w:val="clear" w:color="auto" w:fill="CCEEFF"/>
          </w:tcPr>
          <w:p>
            <w:pPr>
              <w:spacing w:after="0"/>
              <w:rPr>
                <w:sz w:val="13"/>
                <w:szCs w:val="13"/>
                <w:color w:val="auto"/>
              </w:rPr>
            </w:pPr>
          </w:p>
        </w:tc>
        <w:tc>
          <w:tcPr>
            <w:tcW w:w="27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4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640" w:type="dxa"/>
            <w:vAlign w:val="bottom"/>
          </w:tcPr>
          <w:p>
            <w:pPr>
              <w:ind w:left="20"/>
              <w:spacing w:after="0" w:line="139" w:lineRule="exact"/>
              <w:rPr>
                <w:sz w:val="20"/>
                <w:szCs w:val="20"/>
                <w:color w:val="auto"/>
              </w:rPr>
            </w:pPr>
            <w:r>
              <w:rPr>
                <w:rFonts w:ascii="Arial" w:cs="Arial" w:eastAsia="Arial" w:hAnsi="Arial"/>
                <w:sz w:val="13"/>
                <w:szCs w:val="13"/>
                <w:color w:val="auto"/>
              </w:rPr>
              <w:t>ICON Development Solutions Limited</w:t>
            </w:r>
          </w:p>
        </w:tc>
        <w:tc>
          <w:tcPr>
            <w:tcW w:w="2700" w:type="dxa"/>
            <w:vAlign w:val="bottom"/>
          </w:tcPr>
          <w:p>
            <w:pPr>
              <w:ind w:left="440"/>
              <w:spacing w:after="0" w:line="139" w:lineRule="exact"/>
              <w:rPr>
                <w:sz w:val="20"/>
                <w:szCs w:val="20"/>
                <w:color w:val="auto"/>
              </w:rPr>
            </w:pPr>
            <w:r>
              <w:rPr>
                <w:rFonts w:ascii="Arial" w:cs="Arial" w:eastAsia="Arial" w:hAnsi="Arial"/>
                <w:sz w:val="13"/>
                <w:szCs w:val="13"/>
                <w:color w:val="auto"/>
              </w:rPr>
              <w:t>Concept House,</w:t>
            </w:r>
          </w:p>
        </w:tc>
        <w:tc>
          <w:tcPr>
            <w:tcW w:w="2480" w:type="dxa"/>
            <w:vAlign w:val="bottom"/>
          </w:tcPr>
          <w:p>
            <w:pPr>
              <w:ind w:left="84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6 Stoneycroft Rise,</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Chandlers Ford,</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Eastleigh,</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Hampshire,</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2700" w:type="dxa"/>
            <w:vAlign w:val="bottom"/>
          </w:tcPr>
          <w:p>
            <w:pPr>
              <w:ind w:left="440"/>
              <w:spacing w:after="0" w:line="128" w:lineRule="exact"/>
              <w:rPr>
                <w:sz w:val="20"/>
                <w:szCs w:val="20"/>
                <w:color w:val="auto"/>
              </w:rPr>
            </w:pPr>
            <w:r>
              <w:rPr>
                <w:rFonts w:ascii="Arial" w:cs="Arial" w:eastAsia="Arial" w:hAnsi="Arial"/>
                <w:sz w:val="13"/>
                <w:szCs w:val="13"/>
                <w:color w:val="auto"/>
              </w:rPr>
              <w:t>SO53 3LD</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640" w:type="dxa"/>
            <w:vAlign w:val="bottom"/>
          </w:tcPr>
          <w:p>
            <w:pPr>
              <w:spacing w:after="0"/>
              <w:rPr>
                <w:sz w:val="13"/>
                <w:szCs w:val="13"/>
                <w:color w:val="auto"/>
              </w:rPr>
            </w:pPr>
          </w:p>
        </w:tc>
        <w:tc>
          <w:tcPr>
            <w:tcW w:w="270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4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6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Improving Treatments Limited</w:t>
            </w:r>
          </w:p>
        </w:tc>
        <w:tc>
          <w:tcPr>
            <w:tcW w:w="2700" w:type="dxa"/>
            <w:vAlign w:val="bottom"/>
            <w:shd w:val="clear" w:color="auto" w:fill="CCEEFF"/>
          </w:tcPr>
          <w:p>
            <w:pPr>
              <w:ind w:left="440"/>
              <w:spacing w:after="0" w:line="142" w:lineRule="exact"/>
              <w:rPr>
                <w:sz w:val="20"/>
                <w:szCs w:val="20"/>
                <w:color w:val="auto"/>
              </w:rPr>
            </w:pPr>
            <w:r>
              <w:rPr>
                <w:rFonts w:ascii="Arial" w:cs="Arial" w:eastAsia="Arial" w:hAnsi="Arial"/>
                <w:sz w:val="13"/>
                <w:szCs w:val="13"/>
                <w:color w:val="auto"/>
              </w:rPr>
              <w:t>Concept House,</w:t>
            </w:r>
          </w:p>
        </w:tc>
        <w:tc>
          <w:tcPr>
            <w:tcW w:w="2480" w:type="dxa"/>
            <w:vAlign w:val="bottom"/>
            <w:shd w:val="clear" w:color="auto" w:fill="CCEEFF"/>
          </w:tcPr>
          <w:p>
            <w:pPr>
              <w:ind w:left="8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6 Stoneycroft Rise,</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Chandlers Ford,</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Eastleigh,</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Hampshire,</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270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SO53 3LD</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640" w:type="dxa"/>
            <w:vAlign w:val="bottom"/>
            <w:shd w:val="clear" w:color="auto" w:fill="CCEEFF"/>
          </w:tcPr>
          <w:p>
            <w:pPr>
              <w:spacing w:after="0"/>
              <w:rPr>
                <w:sz w:val="13"/>
                <w:szCs w:val="13"/>
                <w:color w:val="auto"/>
              </w:rPr>
            </w:pPr>
          </w:p>
        </w:tc>
        <w:tc>
          <w:tcPr>
            <w:tcW w:w="27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4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260"/>
          </w:cols>
          <w:pgMar w:left="300" w:top="696"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00" w:type="dxa"/>
            <w:vAlign w:val="bottom"/>
            <w:shd w:val="clear" w:color="auto" w:fill="CCEEFF"/>
          </w:tcPr>
          <w:p>
            <w:pPr>
              <w:ind w:left="720"/>
              <w:spacing w:after="0"/>
              <w:rPr>
                <w:sz w:val="20"/>
                <w:szCs w:val="20"/>
                <w:color w:val="auto"/>
              </w:rPr>
            </w:pPr>
            <w:r>
              <w:rPr>
                <w:rFonts w:ascii="Arial" w:cs="Arial" w:eastAsia="Arial" w:hAnsi="Arial"/>
                <w:sz w:val="13"/>
                <w:szCs w:val="13"/>
                <w:b w:val="1"/>
                <w:bCs w:val="1"/>
                <w:color w:val="auto"/>
              </w:rPr>
              <w:t>Registered Office</w:t>
            </w:r>
          </w:p>
        </w:tc>
        <w:tc>
          <w:tcPr>
            <w:tcW w:w="246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3360" w:type="dxa"/>
            <w:vAlign w:val="bottom"/>
            <w:tcBorders>
              <w:bottom w:val="single" w:sz="8" w:color="auto"/>
            </w:tcBorders>
            <w:shd w:val="clear" w:color="auto" w:fill="CCEEFF"/>
          </w:tcPr>
          <w:p>
            <w:pPr>
              <w:spacing w:after="0"/>
              <w:rPr>
                <w:sz w:val="14"/>
                <w:szCs w:val="14"/>
                <w:color w:val="auto"/>
              </w:rPr>
            </w:pPr>
          </w:p>
        </w:tc>
        <w:tc>
          <w:tcPr>
            <w:tcW w:w="300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30"/>
        </w:trPr>
        <w:tc>
          <w:tcPr>
            <w:tcW w:w="3360" w:type="dxa"/>
            <w:vAlign w:val="bottom"/>
          </w:tcPr>
          <w:p>
            <w:pPr>
              <w:ind w:left="20"/>
              <w:spacing w:after="0" w:line="131" w:lineRule="exact"/>
              <w:rPr>
                <w:sz w:val="20"/>
                <w:szCs w:val="20"/>
                <w:color w:val="auto"/>
              </w:rPr>
            </w:pPr>
            <w:r>
              <w:rPr>
                <w:rFonts w:ascii="Arial" w:cs="Arial" w:eastAsia="Arial" w:hAnsi="Arial"/>
                <w:sz w:val="13"/>
                <w:szCs w:val="13"/>
                <w:color w:val="auto"/>
              </w:rPr>
              <w:t>Mapi Life Sciences UK Limited *****</w:t>
            </w:r>
          </w:p>
        </w:tc>
        <w:tc>
          <w:tcPr>
            <w:tcW w:w="3000" w:type="dxa"/>
            <w:vAlign w:val="bottom"/>
          </w:tcPr>
          <w:p>
            <w:pPr>
              <w:ind w:left="720"/>
              <w:spacing w:after="0" w:line="131" w:lineRule="exact"/>
              <w:rPr>
                <w:sz w:val="20"/>
                <w:szCs w:val="20"/>
                <w:color w:val="auto"/>
              </w:rPr>
            </w:pPr>
            <w:r>
              <w:rPr>
                <w:rFonts w:ascii="Arial" w:cs="Arial" w:eastAsia="Arial" w:hAnsi="Arial"/>
                <w:sz w:val="13"/>
                <w:szCs w:val="13"/>
                <w:color w:val="auto"/>
              </w:rPr>
              <w:t>Concept House,</w:t>
            </w:r>
          </w:p>
        </w:tc>
        <w:tc>
          <w:tcPr>
            <w:tcW w:w="2460" w:type="dxa"/>
            <w:vAlign w:val="bottom"/>
          </w:tcPr>
          <w:p>
            <w:pPr>
              <w:ind w:left="820"/>
              <w:spacing w:after="0" w:line="131"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6 Stoneycroft Rise</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Chandlers Ford,</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Eastleigh,</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Hampshire,</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SO53 3LD</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360" w:type="dxa"/>
            <w:vAlign w:val="bottom"/>
          </w:tcPr>
          <w:p>
            <w:pPr>
              <w:spacing w:after="0"/>
              <w:rPr>
                <w:sz w:val="13"/>
                <w:szCs w:val="13"/>
                <w:color w:val="auto"/>
              </w:rPr>
            </w:pPr>
          </w:p>
        </w:tc>
        <w:tc>
          <w:tcPr>
            <w:tcW w:w="3000" w:type="dxa"/>
            <w:vAlign w:val="bottom"/>
          </w:tcPr>
          <w:p>
            <w:pPr>
              <w:ind w:left="720"/>
              <w:spacing w:after="0"/>
              <w:rPr>
                <w:sz w:val="20"/>
                <w:szCs w:val="20"/>
                <w:color w:val="auto"/>
              </w:rPr>
            </w:pPr>
            <w:r>
              <w:rPr>
                <w:rFonts w:ascii="Arial" w:cs="Arial" w:eastAsia="Arial" w:hAnsi="Arial"/>
                <w:sz w:val="13"/>
                <w:szCs w:val="13"/>
                <w:color w:val="auto"/>
              </w:rPr>
              <w:t>United Kingdom</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3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MeDiNova Lakeside Clinical Research Limited</w:t>
            </w:r>
          </w:p>
        </w:tc>
        <w:tc>
          <w:tcPr>
            <w:tcW w:w="3000" w:type="dxa"/>
            <w:vAlign w:val="bottom"/>
            <w:shd w:val="clear" w:color="auto" w:fill="CCEEFF"/>
          </w:tcPr>
          <w:p>
            <w:pPr>
              <w:ind w:left="720"/>
              <w:spacing w:after="0" w:line="142" w:lineRule="exact"/>
              <w:rPr>
                <w:sz w:val="20"/>
                <w:szCs w:val="20"/>
                <w:color w:val="auto"/>
              </w:rPr>
            </w:pPr>
            <w:r>
              <w:rPr>
                <w:rFonts w:ascii="Arial" w:cs="Arial" w:eastAsia="Arial" w:hAnsi="Arial"/>
                <w:sz w:val="13"/>
                <w:szCs w:val="13"/>
                <w:color w:val="auto"/>
              </w:rPr>
              <w:t>Concept House,</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6 Stoneycroft Rise,</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Chandlers Ford,</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Eastleigh,</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Hampshire,</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SO53 3LD,</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360" w:type="dxa"/>
            <w:vAlign w:val="bottom"/>
            <w:shd w:val="clear" w:color="auto" w:fill="CCEEFF"/>
          </w:tcPr>
          <w:p>
            <w:pPr>
              <w:spacing w:after="0"/>
              <w:rPr>
                <w:sz w:val="13"/>
                <w:szCs w:val="13"/>
                <w:color w:val="auto"/>
              </w:rPr>
            </w:pPr>
          </w:p>
        </w:tc>
        <w:tc>
          <w:tcPr>
            <w:tcW w:w="30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United Kingdom</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360" w:type="dxa"/>
            <w:vAlign w:val="bottom"/>
          </w:tcPr>
          <w:p>
            <w:pPr>
              <w:ind w:left="20"/>
              <w:spacing w:after="0" w:line="139" w:lineRule="exact"/>
              <w:rPr>
                <w:sz w:val="20"/>
                <w:szCs w:val="20"/>
                <w:color w:val="auto"/>
              </w:rPr>
            </w:pPr>
            <w:r>
              <w:rPr>
                <w:rFonts w:ascii="Arial" w:cs="Arial" w:eastAsia="Arial" w:hAnsi="Arial"/>
                <w:sz w:val="13"/>
                <w:szCs w:val="13"/>
                <w:color w:val="auto"/>
              </w:rPr>
              <w:t>MeDiNova Limited******</w:t>
            </w:r>
          </w:p>
        </w:tc>
        <w:tc>
          <w:tcPr>
            <w:tcW w:w="3000" w:type="dxa"/>
            <w:vAlign w:val="bottom"/>
          </w:tcPr>
          <w:p>
            <w:pPr>
              <w:ind w:left="720"/>
              <w:spacing w:after="0" w:line="139" w:lineRule="exact"/>
              <w:rPr>
                <w:sz w:val="20"/>
                <w:szCs w:val="20"/>
                <w:color w:val="auto"/>
              </w:rPr>
            </w:pPr>
            <w:r>
              <w:rPr>
                <w:rFonts w:ascii="Arial" w:cs="Arial" w:eastAsia="Arial" w:hAnsi="Arial"/>
                <w:sz w:val="13"/>
                <w:szCs w:val="13"/>
                <w:color w:val="auto"/>
              </w:rPr>
              <w:t>Concept House,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6 Stoneycroft Rise,</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Chandlers Ford,</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Eastleigh,</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Hampshire,</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SO53 3LD,</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360" w:type="dxa"/>
            <w:vAlign w:val="bottom"/>
          </w:tcPr>
          <w:p>
            <w:pPr>
              <w:spacing w:after="0"/>
              <w:rPr>
                <w:sz w:val="13"/>
                <w:szCs w:val="13"/>
                <w:color w:val="auto"/>
              </w:rPr>
            </w:pPr>
          </w:p>
        </w:tc>
        <w:tc>
          <w:tcPr>
            <w:tcW w:w="3000" w:type="dxa"/>
            <w:vAlign w:val="bottom"/>
          </w:tcPr>
          <w:p>
            <w:pPr>
              <w:ind w:left="720"/>
              <w:spacing w:after="0"/>
              <w:rPr>
                <w:sz w:val="20"/>
                <w:szCs w:val="20"/>
                <w:color w:val="auto"/>
              </w:rPr>
            </w:pPr>
            <w:r>
              <w:rPr>
                <w:rFonts w:ascii="Arial" w:cs="Arial" w:eastAsia="Arial" w:hAnsi="Arial"/>
                <w:sz w:val="13"/>
                <w:szCs w:val="13"/>
                <w:color w:val="auto"/>
              </w:rPr>
              <w:t>United Kingdom</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3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MeDiNova Merc (UK) Limited</w:t>
            </w:r>
          </w:p>
        </w:tc>
        <w:tc>
          <w:tcPr>
            <w:tcW w:w="3000" w:type="dxa"/>
            <w:vAlign w:val="bottom"/>
            <w:shd w:val="clear" w:color="auto" w:fill="CCEEFF"/>
          </w:tcPr>
          <w:p>
            <w:pPr>
              <w:ind w:left="720"/>
              <w:spacing w:after="0" w:line="142" w:lineRule="exact"/>
              <w:rPr>
                <w:sz w:val="20"/>
                <w:szCs w:val="20"/>
                <w:color w:val="auto"/>
              </w:rPr>
            </w:pPr>
            <w:r>
              <w:rPr>
                <w:rFonts w:ascii="Arial" w:cs="Arial" w:eastAsia="Arial" w:hAnsi="Arial"/>
                <w:sz w:val="13"/>
                <w:szCs w:val="13"/>
                <w:color w:val="auto"/>
              </w:rPr>
              <w:t>Concept House,</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6 Stoneycroft Rise,</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Chandlers Ford,</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Eastleigh,</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Hampshire,</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SO53 3LD,</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360" w:type="dxa"/>
            <w:vAlign w:val="bottom"/>
            <w:shd w:val="clear" w:color="auto" w:fill="CCEEFF"/>
          </w:tcPr>
          <w:p>
            <w:pPr>
              <w:spacing w:after="0"/>
              <w:rPr>
                <w:sz w:val="13"/>
                <w:szCs w:val="13"/>
                <w:color w:val="auto"/>
              </w:rPr>
            </w:pPr>
          </w:p>
        </w:tc>
        <w:tc>
          <w:tcPr>
            <w:tcW w:w="30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United Kingdom</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360" w:type="dxa"/>
            <w:vAlign w:val="bottom"/>
          </w:tcPr>
          <w:p>
            <w:pPr>
              <w:ind w:left="20"/>
              <w:spacing w:after="0" w:line="139" w:lineRule="exact"/>
              <w:rPr>
                <w:sz w:val="20"/>
                <w:szCs w:val="20"/>
                <w:color w:val="auto"/>
              </w:rPr>
            </w:pPr>
            <w:r>
              <w:rPr>
                <w:rFonts w:ascii="Arial" w:cs="Arial" w:eastAsia="Arial" w:hAnsi="Arial"/>
                <w:sz w:val="13"/>
                <w:szCs w:val="13"/>
                <w:color w:val="auto"/>
              </w:rPr>
              <w:t>MedPass Group Limited*******</w:t>
            </w:r>
          </w:p>
        </w:tc>
        <w:tc>
          <w:tcPr>
            <w:tcW w:w="3000" w:type="dxa"/>
            <w:vAlign w:val="bottom"/>
          </w:tcPr>
          <w:p>
            <w:pPr>
              <w:ind w:left="720"/>
              <w:spacing w:after="0" w:line="139" w:lineRule="exact"/>
              <w:rPr>
                <w:sz w:val="20"/>
                <w:szCs w:val="20"/>
                <w:color w:val="auto"/>
              </w:rPr>
            </w:pPr>
            <w:r>
              <w:rPr>
                <w:rFonts w:ascii="Arial" w:cs="Arial" w:eastAsia="Arial" w:hAnsi="Arial"/>
                <w:sz w:val="13"/>
                <w:szCs w:val="13"/>
                <w:color w:val="auto"/>
              </w:rPr>
              <w:t>Concept House,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6 Stoneycroft Rise,</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Chandlers Ford,</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Eastleigh,</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Hampshire,</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SO53 3LD</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360" w:type="dxa"/>
            <w:vAlign w:val="bottom"/>
          </w:tcPr>
          <w:p>
            <w:pPr>
              <w:spacing w:after="0"/>
              <w:rPr>
                <w:sz w:val="13"/>
                <w:szCs w:val="13"/>
                <w:color w:val="auto"/>
              </w:rPr>
            </w:pPr>
          </w:p>
        </w:tc>
        <w:tc>
          <w:tcPr>
            <w:tcW w:w="3000" w:type="dxa"/>
            <w:vAlign w:val="bottom"/>
          </w:tcPr>
          <w:p>
            <w:pPr>
              <w:ind w:left="720"/>
              <w:spacing w:after="0"/>
              <w:rPr>
                <w:sz w:val="20"/>
                <w:szCs w:val="20"/>
                <w:color w:val="auto"/>
              </w:rPr>
            </w:pPr>
            <w:r>
              <w:rPr>
                <w:rFonts w:ascii="Arial" w:cs="Arial" w:eastAsia="Arial" w:hAnsi="Arial"/>
                <w:sz w:val="13"/>
                <w:szCs w:val="13"/>
                <w:color w:val="auto"/>
              </w:rPr>
              <w:t>United Kingdom</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3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MedPass International Limited********</w:t>
            </w:r>
          </w:p>
        </w:tc>
        <w:tc>
          <w:tcPr>
            <w:tcW w:w="3000" w:type="dxa"/>
            <w:vAlign w:val="bottom"/>
            <w:shd w:val="clear" w:color="auto" w:fill="CCEEFF"/>
          </w:tcPr>
          <w:p>
            <w:pPr>
              <w:ind w:left="720"/>
              <w:spacing w:after="0" w:line="142" w:lineRule="exact"/>
              <w:rPr>
                <w:sz w:val="20"/>
                <w:szCs w:val="20"/>
                <w:color w:val="auto"/>
              </w:rPr>
            </w:pPr>
            <w:r>
              <w:rPr>
                <w:rFonts w:ascii="Arial" w:cs="Arial" w:eastAsia="Arial" w:hAnsi="Arial"/>
                <w:sz w:val="13"/>
                <w:szCs w:val="13"/>
                <w:color w:val="auto"/>
              </w:rPr>
              <w:t>Windsor House,</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Bretforton,</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Evesham,</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Worcestershire,</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WR11 7JJ</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360" w:type="dxa"/>
            <w:vAlign w:val="bottom"/>
            <w:shd w:val="clear" w:color="auto" w:fill="CCEEFF"/>
          </w:tcPr>
          <w:p>
            <w:pPr>
              <w:spacing w:after="0"/>
              <w:rPr>
                <w:sz w:val="13"/>
                <w:szCs w:val="13"/>
                <w:color w:val="auto"/>
              </w:rPr>
            </w:pPr>
          </w:p>
        </w:tc>
        <w:tc>
          <w:tcPr>
            <w:tcW w:w="30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United Kingdom</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360" w:type="dxa"/>
            <w:vAlign w:val="bottom"/>
          </w:tcPr>
          <w:p>
            <w:pPr>
              <w:ind w:left="20"/>
              <w:spacing w:after="0" w:line="139" w:lineRule="exact"/>
              <w:rPr>
                <w:sz w:val="20"/>
                <w:szCs w:val="20"/>
                <w:color w:val="auto"/>
              </w:rPr>
            </w:pPr>
            <w:r>
              <w:rPr>
                <w:rFonts w:ascii="Arial" w:cs="Arial" w:eastAsia="Arial" w:hAnsi="Arial"/>
                <w:sz w:val="13"/>
                <w:szCs w:val="13"/>
                <w:color w:val="auto"/>
              </w:rPr>
              <w:t>MedPass Limited*********</w:t>
            </w:r>
          </w:p>
        </w:tc>
        <w:tc>
          <w:tcPr>
            <w:tcW w:w="3000" w:type="dxa"/>
            <w:vAlign w:val="bottom"/>
          </w:tcPr>
          <w:p>
            <w:pPr>
              <w:ind w:left="720"/>
              <w:spacing w:after="0" w:line="139" w:lineRule="exact"/>
              <w:rPr>
                <w:sz w:val="20"/>
                <w:szCs w:val="20"/>
                <w:color w:val="auto"/>
              </w:rPr>
            </w:pPr>
            <w:r>
              <w:rPr>
                <w:rFonts w:ascii="Arial" w:cs="Arial" w:eastAsia="Arial" w:hAnsi="Arial"/>
                <w:sz w:val="13"/>
                <w:szCs w:val="13"/>
                <w:color w:val="auto"/>
              </w:rPr>
              <w:t>Windsor House,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Bretforton,</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Evesham,</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Worcestershire,</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WR11 7JJ</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360" w:type="dxa"/>
            <w:vAlign w:val="bottom"/>
          </w:tcPr>
          <w:p>
            <w:pPr>
              <w:spacing w:after="0"/>
              <w:rPr>
                <w:sz w:val="13"/>
                <w:szCs w:val="13"/>
                <w:color w:val="auto"/>
              </w:rPr>
            </w:pPr>
          </w:p>
        </w:tc>
        <w:tc>
          <w:tcPr>
            <w:tcW w:w="3000" w:type="dxa"/>
            <w:vAlign w:val="bottom"/>
          </w:tcPr>
          <w:p>
            <w:pPr>
              <w:ind w:left="720"/>
              <w:spacing w:after="0"/>
              <w:rPr>
                <w:sz w:val="20"/>
                <w:szCs w:val="20"/>
                <w:color w:val="auto"/>
              </w:rPr>
            </w:pPr>
            <w:r>
              <w:rPr>
                <w:rFonts w:ascii="Arial" w:cs="Arial" w:eastAsia="Arial" w:hAnsi="Arial"/>
                <w:sz w:val="13"/>
                <w:szCs w:val="13"/>
                <w:color w:val="auto"/>
              </w:rPr>
              <w:t>United Kingdom</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3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VSK (Kenilworth) Limited</w:t>
            </w:r>
          </w:p>
        </w:tc>
        <w:tc>
          <w:tcPr>
            <w:tcW w:w="3000" w:type="dxa"/>
            <w:vAlign w:val="bottom"/>
            <w:shd w:val="clear" w:color="auto" w:fill="CCEEFF"/>
          </w:tcPr>
          <w:p>
            <w:pPr>
              <w:ind w:left="720"/>
              <w:spacing w:after="0" w:line="142" w:lineRule="exact"/>
              <w:rPr>
                <w:sz w:val="20"/>
                <w:szCs w:val="20"/>
                <w:color w:val="auto"/>
              </w:rPr>
            </w:pPr>
            <w:r>
              <w:rPr>
                <w:rFonts w:ascii="Arial" w:cs="Arial" w:eastAsia="Arial" w:hAnsi="Arial"/>
                <w:sz w:val="13"/>
                <w:szCs w:val="13"/>
                <w:color w:val="auto"/>
              </w:rPr>
              <w:t>Concept House,</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6 Stoneycroft Rise,</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Chandlers Ford,</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Eastleigh,</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Hampshire,</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60" w:type="dxa"/>
            <w:vAlign w:val="bottom"/>
            <w:shd w:val="clear" w:color="auto" w:fill="CCEEFF"/>
          </w:tcPr>
          <w:p>
            <w:pPr>
              <w:spacing w:after="0"/>
              <w:rPr>
                <w:sz w:val="11"/>
                <w:szCs w:val="11"/>
                <w:color w:val="auto"/>
              </w:rPr>
            </w:pPr>
          </w:p>
        </w:tc>
        <w:tc>
          <w:tcPr>
            <w:tcW w:w="300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SO53 3LD,</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360" w:type="dxa"/>
            <w:vAlign w:val="bottom"/>
            <w:shd w:val="clear" w:color="auto" w:fill="CCEEFF"/>
          </w:tcPr>
          <w:p>
            <w:pPr>
              <w:spacing w:after="0"/>
              <w:rPr>
                <w:sz w:val="13"/>
                <w:szCs w:val="13"/>
                <w:color w:val="auto"/>
              </w:rPr>
            </w:pPr>
          </w:p>
        </w:tc>
        <w:tc>
          <w:tcPr>
            <w:tcW w:w="30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United Kingdom</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360" w:type="dxa"/>
            <w:vAlign w:val="bottom"/>
          </w:tcPr>
          <w:p>
            <w:pPr>
              <w:ind w:left="20"/>
              <w:spacing w:after="0" w:line="139" w:lineRule="exact"/>
              <w:rPr>
                <w:sz w:val="20"/>
                <w:szCs w:val="20"/>
                <w:color w:val="auto"/>
              </w:rPr>
            </w:pPr>
            <w:r>
              <w:rPr>
                <w:rFonts w:ascii="Arial" w:cs="Arial" w:eastAsia="Arial" w:hAnsi="Arial"/>
                <w:sz w:val="13"/>
                <w:szCs w:val="13"/>
                <w:color w:val="auto"/>
              </w:rPr>
              <w:t>Addplan, Inc</w:t>
            </w:r>
          </w:p>
        </w:tc>
        <w:tc>
          <w:tcPr>
            <w:tcW w:w="3000" w:type="dxa"/>
            <w:vAlign w:val="bottom"/>
          </w:tcPr>
          <w:p>
            <w:pPr>
              <w:ind w:left="720"/>
              <w:spacing w:after="0" w:line="139" w:lineRule="exact"/>
              <w:rPr>
                <w:sz w:val="20"/>
                <w:szCs w:val="20"/>
                <w:color w:val="auto"/>
              </w:rPr>
            </w:pPr>
            <w:r>
              <w:rPr>
                <w:rFonts w:ascii="Arial" w:cs="Arial" w:eastAsia="Arial" w:hAnsi="Arial"/>
                <w:sz w:val="13"/>
                <w:szCs w:val="13"/>
                <w:color w:val="auto"/>
              </w:rPr>
              <w:t>2100 Pennbrook Parkway,</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North Wales,</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Montgomery County,</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60" w:type="dxa"/>
            <w:vAlign w:val="bottom"/>
          </w:tcPr>
          <w:p>
            <w:pPr>
              <w:spacing w:after="0"/>
              <w:rPr>
                <w:sz w:val="11"/>
                <w:szCs w:val="11"/>
                <w:color w:val="auto"/>
              </w:rPr>
            </w:pPr>
          </w:p>
        </w:tc>
        <w:tc>
          <w:tcPr>
            <w:tcW w:w="3000" w:type="dxa"/>
            <w:vAlign w:val="bottom"/>
          </w:tcPr>
          <w:p>
            <w:pPr>
              <w:ind w:left="720"/>
              <w:spacing w:after="0" w:line="128" w:lineRule="exact"/>
              <w:rPr>
                <w:sz w:val="20"/>
                <w:szCs w:val="20"/>
                <w:color w:val="auto"/>
              </w:rPr>
            </w:pPr>
            <w:r>
              <w:rPr>
                <w:rFonts w:ascii="Arial" w:cs="Arial" w:eastAsia="Arial" w:hAnsi="Arial"/>
                <w:sz w:val="13"/>
                <w:szCs w:val="13"/>
                <w:color w:val="auto"/>
              </w:rPr>
              <w:t>PA 19454</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3"/>
        </w:trPr>
        <w:tc>
          <w:tcPr>
            <w:tcW w:w="3360" w:type="dxa"/>
            <w:vAlign w:val="bottom"/>
          </w:tcPr>
          <w:p>
            <w:pPr>
              <w:spacing w:after="0"/>
              <w:rPr>
                <w:sz w:val="13"/>
                <w:szCs w:val="13"/>
                <w:color w:val="auto"/>
              </w:rPr>
            </w:pPr>
          </w:p>
        </w:tc>
        <w:tc>
          <w:tcPr>
            <w:tcW w:w="3000" w:type="dxa"/>
            <w:vAlign w:val="bottom"/>
          </w:tcPr>
          <w:p>
            <w:pPr>
              <w:ind w:left="7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60"/>
          </w:cols>
          <w:pgMar w:left="300" w:top="696"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46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tcBorders>
              <w:bottom w:val="single" w:sz="8" w:color="auto"/>
            </w:tcBorders>
            <w:shd w:val="clear" w:color="auto" w:fill="CCEEFF"/>
          </w:tcPr>
          <w:p>
            <w:pPr>
              <w:spacing w:after="0"/>
              <w:rPr>
                <w:sz w:val="14"/>
                <w:szCs w:val="14"/>
                <w:color w:val="auto"/>
              </w:rPr>
            </w:pPr>
          </w:p>
        </w:tc>
        <w:tc>
          <w:tcPr>
            <w:tcW w:w="230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30"/>
        </w:trPr>
        <w:tc>
          <w:tcPr>
            <w:tcW w:w="40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Beacon Bioscience, Inc</w:t>
            </w:r>
          </w:p>
        </w:tc>
        <w:tc>
          <w:tcPr>
            <w:tcW w:w="23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2100 Pennbrook Parkway,</w:t>
            </w:r>
          </w:p>
        </w:tc>
        <w:tc>
          <w:tcPr>
            <w:tcW w:w="2460" w:type="dxa"/>
            <w:vAlign w:val="bottom"/>
            <w:shd w:val="clear" w:color="auto" w:fill="CCEEFF"/>
          </w:tcPr>
          <w:p>
            <w:pPr>
              <w:ind w:left="820"/>
              <w:spacing w:after="0" w:line="131"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North Wales,</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PA 19454</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C4 MedSolutions, LLC</w:t>
            </w:r>
          </w:p>
        </w:tc>
        <w:tc>
          <w:tcPr>
            <w:tcW w:w="2300" w:type="dxa"/>
            <w:vAlign w:val="bottom"/>
          </w:tcPr>
          <w:p>
            <w:pPr>
              <w:ind w:left="20"/>
              <w:spacing w:after="0" w:line="139" w:lineRule="exact"/>
              <w:rPr>
                <w:sz w:val="20"/>
                <w:szCs w:val="20"/>
                <w:color w:val="auto"/>
              </w:rPr>
            </w:pPr>
            <w:r>
              <w:rPr>
                <w:rFonts w:ascii="Arial" w:cs="Arial" w:eastAsia="Arial" w:hAnsi="Arial"/>
                <w:sz w:val="13"/>
                <w:szCs w:val="13"/>
                <w:color w:val="auto"/>
              </w:rPr>
              <w:t>19 West College Ave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Yardley,</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PA 19067</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CHC Group, LLC</w:t>
            </w:r>
          </w:p>
        </w:tc>
        <w:tc>
          <w:tcPr>
            <w:tcW w:w="23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19 West College Ave</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Yardley,</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PA 19067</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Clinical Resource Network, LLC</w:t>
            </w:r>
          </w:p>
        </w:tc>
        <w:tc>
          <w:tcPr>
            <w:tcW w:w="2300" w:type="dxa"/>
            <w:vAlign w:val="bottom"/>
          </w:tcPr>
          <w:p>
            <w:pPr>
              <w:ind w:left="20"/>
              <w:spacing w:after="0" w:line="139" w:lineRule="exact"/>
              <w:rPr>
                <w:sz w:val="20"/>
                <w:szCs w:val="20"/>
                <w:color w:val="auto"/>
              </w:rPr>
            </w:pPr>
            <w:r>
              <w:rPr>
                <w:rFonts w:ascii="Arial" w:cs="Arial" w:eastAsia="Arial" w:hAnsi="Arial"/>
                <w:sz w:val="13"/>
                <w:szCs w:val="13"/>
                <w:color w:val="auto"/>
              </w:rPr>
              <w:t>700 Deerpath Drive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Vernon Hills,</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IL 60061-1801</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Complete Healthcare Communications LLC</w:t>
            </w:r>
          </w:p>
        </w:tc>
        <w:tc>
          <w:tcPr>
            <w:tcW w:w="23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19 West College Ave</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Yardley,</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PA 19067</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Complete Publication Solutions, LLC</w:t>
            </w:r>
          </w:p>
        </w:tc>
        <w:tc>
          <w:tcPr>
            <w:tcW w:w="2300" w:type="dxa"/>
            <w:vAlign w:val="bottom"/>
          </w:tcPr>
          <w:p>
            <w:pPr>
              <w:ind w:left="20"/>
              <w:spacing w:after="0" w:line="139" w:lineRule="exact"/>
              <w:rPr>
                <w:sz w:val="20"/>
                <w:szCs w:val="20"/>
                <w:color w:val="auto"/>
              </w:rPr>
            </w:pPr>
            <w:r>
              <w:rPr>
                <w:rFonts w:ascii="Arial" w:cs="Arial" w:eastAsia="Arial" w:hAnsi="Arial"/>
                <w:sz w:val="13"/>
                <w:szCs w:val="13"/>
                <w:color w:val="auto"/>
              </w:rPr>
              <w:t>19 West College Ave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Yardley,</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PA 19067</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CRN Holdings, LLC</w:t>
            </w:r>
          </w:p>
        </w:tc>
        <w:tc>
          <w:tcPr>
            <w:tcW w:w="23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700 Deerpath Drive</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Vernon Hills,</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IL 60061-1801</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CRN North America, LLC</w:t>
            </w:r>
          </w:p>
        </w:tc>
        <w:tc>
          <w:tcPr>
            <w:tcW w:w="2300" w:type="dxa"/>
            <w:vAlign w:val="bottom"/>
          </w:tcPr>
          <w:p>
            <w:pPr>
              <w:ind w:left="20"/>
              <w:spacing w:after="0" w:line="139" w:lineRule="exact"/>
              <w:rPr>
                <w:sz w:val="20"/>
                <w:szCs w:val="20"/>
                <w:color w:val="auto"/>
              </w:rPr>
            </w:pPr>
            <w:r>
              <w:rPr>
                <w:rFonts w:ascii="Arial" w:cs="Arial" w:eastAsia="Arial" w:hAnsi="Arial"/>
                <w:sz w:val="13"/>
                <w:szCs w:val="13"/>
                <w:color w:val="auto"/>
              </w:rPr>
              <w:t>700 Deerpath Drive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Vernon Hills,</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IL 60061-1801</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DOCS Global, Inc.</w:t>
            </w:r>
          </w:p>
        </w:tc>
        <w:tc>
          <w:tcPr>
            <w:tcW w:w="23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2100 Pennbrook Parkway,</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North Wales,</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PA 19454</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Global Pharmaceutical Strategies Group, LLC</w:t>
            </w:r>
          </w:p>
        </w:tc>
        <w:tc>
          <w:tcPr>
            <w:tcW w:w="2300" w:type="dxa"/>
            <w:vAlign w:val="bottom"/>
          </w:tcPr>
          <w:p>
            <w:pPr>
              <w:ind w:left="20"/>
              <w:spacing w:after="0" w:line="139" w:lineRule="exact"/>
              <w:rPr>
                <w:sz w:val="20"/>
                <w:szCs w:val="20"/>
                <w:color w:val="auto"/>
              </w:rPr>
            </w:pPr>
            <w:r>
              <w:rPr>
                <w:rFonts w:ascii="Arial" w:cs="Arial" w:eastAsia="Arial" w:hAnsi="Arial"/>
                <w:sz w:val="13"/>
                <w:szCs w:val="13"/>
                <w:color w:val="auto"/>
              </w:rPr>
              <w:t>19 West College Ave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Suite 100</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Yardley,</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PA 19067</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4060" w:type="dxa"/>
            <w:vAlign w:val="bottom"/>
          </w:tcPr>
          <w:p>
            <w:pPr>
              <w:spacing w:after="0"/>
              <w:rPr>
                <w:sz w:val="13"/>
                <w:szCs w:val="13"/>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4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Clinical Research LLC</w:t>
            </w:r>
          </w:p>
        </w:tc>
        <w:tc>
          <w:tcPr>
            <w:tcW w:w="23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19 West College Ave</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100</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Yardley,</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PA 19067</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406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4060" w:type="dxa"/>
            <w:vAlign w:val="bottom"/>
          </w:tcPr>
          <w:p>
            <w:pPr>
              <w:ind w:left="20"/>
              <w:spacing w:after="0" w:line="139" w:lineRule="exact"/>
              <w:rPr>
                <w:sz w:val="20"/>
                <w:szCs w:val="20"/>
                <w:color w:val="auto"/>
              </w:rPr>
            </w:pPr>
            <w:r>
              <w:rPr>
                <w:rFonts w:ascii="Arial" w:cs="Arial" w:eastAsia="Arial" w:hAnsi="Arial"/>
                <w:sz w:val="13"/>
                <w:szCs w:val="13"/>
                <w:color w:val="auto"/>
              </w:rPr>
              <w:t>ICON Early Phase Services, LLC</w:t>
            </w:r>
          </w:p>
        </w:tc>
        <w:tc>
          <w:tcPr>
            <w:tcW w:w="2300" w:type="dxa"/>
            <w:vAlign w:val="bottom"/>
          </w:tcPr>
          <w:p>
            <w:pPr>
              <w:ind w:left="20"/>
              <w:spacing w:after="0" w:line="139" w:lineRule="exact"/>
              <w:rPr>
                <w:sz w:val="20"/>
                <w:szCs w:val="20"/>
                <w:color w:val="auto"/>
              </w:rPr>
            </w:pPr>
            <w:r>
              <w:rPr>
                <w:rFonts w:ascii="Arial" w:cs="Arial" w:eastAsia="Arial" w:hAnsi="Arial"/>
                <w:sz w:val="13"/>
                <w:szCs w:val="13"/>
                <w:color w:val="auto"/>
              </w:rPr>
              <w:t>8307 Gault Lane,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San Antonio,</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TX 78209-1015</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3"/>
        </w:trPr>
        <w:tc>
          <w:tcPr>
            <w:tcW w:w="4060" w:type="dxa"/>
            <w:vAlign w:val="bottom"/>
          </w:tcPr>
          <w:p>
            <w:pPr>
              <w:spacing w:after="0"/>
              <w:rPr>
                <w:sz w:val="13"/>
                <w:szCs w:val="13"/>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4"/>
        </w:trPr>
        <w:tc>
          <w:tcPr>
            <w:tcW w:w="4060" w:type="dxa"/>
            <w:vAlign w:val="bottom"/>
          </w:tcPr>
          <w:p>
            <w:pPr>
              <w:ind w:left="20"/>
              <w:spacing w:after="0" w:line="144" w:lineRule="exact"/>
              <w:rPr>
                <w:sz w:val="20"/>
                <w:szCs w:val="20"/>
                <w:color w:val="auto"/>
              </w:rPr>
            </w:pPr>
            <w:r>
              <w:rPr>
                <w:rFonts w:ascii="Arial" w:cs="Arial" w:eastAsia="Arial" w:hAnsi="Arial"/>
                <w:sz w:val="13"/>
                <w:szCs w:val="13"/>
                <w:color w:val="auto"/>
              </w:rPr>
              <w:t>ICON Government and Public Health Solutions, Inc.</w:t>
            </w:r>
          </w:p>
        </w:tc>
        <w:tc>
          <w:tcPr>
            <w:tcW w:w="2300" w:type="dxa"/>
            <w:vAlign w:val="bottom"/>
          </w:tcPr>
          <w:p>
            <w:pPr>
              <w:ind w:left="20"/>
              <w:spacing w:after="0" w:line="144" w:lineRule="exact"/>
              <w:rPr>
                <w:sz w:val="20"/>
                <w:szCs w:val="20"/>
                <w:color w:val="auto"/>
              </w:rPr>
            </w:pPr>
            <w:r>
              <w:rPr>
                <w:rFonts w:ascii="Arial" w:cs="Arial" w:eastAsia="Arial" w:hAnsi="Arial"/>
                <w:sz w:val="13"/>
                <w:szCs w:val="13"/>
                <w:color w:val="auto"/>
              </w:rPr>
              <w:t>1265 Ridge Road,</w:t>
            </w:r>
          </w:p>
        </w:tc>
        <w:tc>
          <w:tcPr>
            <w:tcW w:w="2460" w:type="dxa"/>
            <w:vAlign w:val="bottom"/>
          </w:tcPr>
          <w:p>
            <w:pPr>
              <w:ind w:left="820"/>
              <w:spacing w:after="0" w:line="144"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4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300" w:type="dxa"/>
            <w:vAlign w:val="bottom"/>
          </w:tcPr>
          <w:p>
            <w:pPr>
              <w:ind w:left="20"/>
              <w:spacing w:after="0" w:line="128" w:lineRule="exact"/>
              <w:rPr>
                <w:sz w:val="20"/>
                <w:szCs w:val="20"/>
                <w:color w:val="auto"/>
              </w:rPr>
            </w:pPr>
            <w:r>
              <w:rPr>
                <w:rFonts w:ascii="Arial" w:cs="Arial" w:eastAsia="Arial" w:hAnsi="Arial"/>
                <w:sz w:val="13"/>
                <w:szCs w:val="13"/>
                <w:color w:val="auto"/>
              </w:rPr>
              <w:t>Hinckley,</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148195" cy="350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350520"/>
                    </a:xfrm>
                    <a:prstGeom prst="rect">
                      <a:avLst/>
                    </a:prstGeom>
                    <a:noFill/>
                  </pic:spPr>
                </pic:pic>
              </a:graphicData>
            </a:graphic>
          </wp:anchor>
        </w:drawing>
      </w:r>
    </w:p>
    <w:p>
      <w:pPr>
        <w:ind w:left="4080"/>
        <w:spacing w:after="0" w:line="204" w:lineRule="auto"/>
        <w:rPr>
          <w:sz w:val="20"/>
          <w:szCs w:val="20"/>
          <w:color w:val="auto"/>
        </w:rPr>
      </w:pPr>
      <w:r>
        <w:rPr>
          <w:rFonts w:ascii="Arial" w:cs="Arial" w:eastAsia="Arial" w:hAnsi="Arial"/>
          <w:sz w:val="13"/>
          <w:szCs w:val="13"/>
          <w:color w:val="auto"/>
        </w:rPr>
        <w:t>OH 44233</w:t>
      </w:r>
    </w:p>
    <w:p>
      <w:pPr>
        <w:ind w:left="4080"/>
        <w:spacing w:after="0"/>
        <w:rPr>
          <w:sz w:val="20"/>
          <w:szCs w:val="20"/>
          <w:color w:val="auto"/>
        </w:rPr>
      </w:pPr>
      <w:r>
        <w:rPr>
          <w:rFonts w:ascii="Arial" w:cs="Arial" w:eastAsia="Arial" w:hAnsi="Arial"/>
          <w:sz w:val="13"/>
          <w:szCs w:val="13"/>
          <w:color w:val="auto"/>
        </w:rPr>
        <w:t>United States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60"/>
          </w:cols>
          <w:pgMar w:left="300" w:top="696"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960" w:type="dxa"/>
            <w:vAlign w:val="bottom"/>
            <w:shd w:val="clear" w:color="auto" w:fill="CCEEFF"/>
          </w:tcPr>
          <w:p>
            <w:pPr>
              <w:ind w:left="600"/>
              <w:spacing w:after="0"/>
              <w:rPr>
                <w:sz w:val="20"/>
                <w:szCs w:val="20"/>
                <w:color w:val="auto"/>
              </w:rPr>
            </w:pPr>
            <w:r>
              <w:rPr>
                <w:rFonts w:ascii="Arial" w:cs="Arial" w:eastAsia="Arial" w:hAnsi="Arial"/>
                <w:sz w:val="13"/>
                <w:szCs w:val="13"/>
                <w:b w:val="1"/>
                <w:bCs w:val="1"/>
                <w:color w:val="auto"/>
              </w:rPr>
              <w:t>Registered Office</w:t>
            </w:r>
          </w:p>
        </w:tc>
        <w:tc>
          <w:tcPr>
            <w:tcW w:w="2380" w:type="dxa"/>
            <w:vAlign w:val="bottom"/>
            <w:shd w:val="clear" w:color="auto" w:fill="CCEEFF"/>
          </w:tcPr>
          <w:p>
            <w:pPr>
              <w:ind w:left="74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348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30"/>
        </w:trPr>
        <w:tc>
          <w:tcPr>
            <w:tcW w:w="3480" w:type="dxa"/>
            <w:vAlign w:val="bottom"/>
          </w:tcPr>
          <w:p>
            <w:pPr>
              <w:ind w:left="20"/>
              <w:spacing w:after="0" w:line="131" w:lineRule="exact"/>
              <w:rPr>
                <w:sz w:val="20"/>
                <w:szCs w:val="20"/>
                <w:color w:val="auto"/>
              </w:rPr>
            </w:pPr>
            <w:r>
              <w:rPr>
                <w:rFonts w:ascii="Arial" w:cs="Arial" w:eastAsia="Arial" w:hAnsi="Arial"/>
                <w:sz w:val="13"/>
                <w:szCs w:val="13"/>
                <w:color w:val="auto"/>
              </w:rPr>
              <w:t>ICON Laboratory Services, Inc.</w:t>
            </w:r>
          </w:p>
        </w:tc>
        <w:tc>
          <w:tcPr>
            <w:tcW w:w="2960" w:type="dxa"/>
            <w:vAlign w:val="bottom"/>
          </w:tcPr>
          <w:p>
            <w:pPr>
              <w:ind w:left="600"/>
              <w:spacing w:after="0" w:line="131" w:lineRule="exact"/>
              <w:rPr>
                <w:sz w:val="20"/>
                <w:szCs w:val="20"/>
                <w:color w:val="auto"/>
              </w:rPr>
            </w:pPr>
            <w:r>
              <w:rPr>
                <w:rFonts w:ascii="Arial" w:cs="Arial" w:eastAsia="Arial" w:hAnsi="Arial"/>
                <w:sz w:val="13"/>
                <w:szCs w:val="13"/>
                <w:color w:val="auto"/>
              </w:rPr>
              <w:t>123 Smith Street,</w:t>
            </w:r>
          </w:p>
        </w:tc>
        <w:tc>
          <w:tcPr>
            <w:tcW w:w="2380" w:type="dxa"/>
            <w:vAlign w:val="bottom"/>
          </w:tcPr>
          <w:p>
            <w:pPr>
              <w:ind w:left="740"/>
              <w:spacing w:after="0" w:line="131"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Farmingdale,</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NY 11735</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480" w:type="dxa"/>
            <w:vAlign w:val="bottom"/>
          </w:tcPr>
          <w:p>
            <w:pPr>
              <w:spacing w:after="0"/>
              <w:rPr>
                <w:sz w:val="13"/>
                <w:szCs w:val="13"/>
                <w:color w:val="auto"/>
              </w:rPr>
            </w:pPr>
          </w:p>
        </w:tc>
        <w:tc>
          <w:tcPr>
            <w:tcW w:w="2960" w:type="dxa"/>
            <w:vAlign w:val="bottom"/>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4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ICON US Holdings Inc.</w:t>
            </w:r>
          </w:p>
        </w:tc>
        <w:tc>
          <w:tcPr>
            <w:tcW w:w="2960" w:type="dxa"/>
            <w:vAlign w:val="bottom"/>
            <w:shd w:val="clear" w:color="auto" w:fill="CCEEFF"/>
          </w:tcPr>
          <w:p>
            <w:pPr>
              <w:ind w:left="600"/>
              <w:spacing w:after="0" w:line="142" w:lineRule="exact"/>
              <w:rPr>
                <w:sz w:val="20"/>
                <w:szCs w:val="20"/>
                <w:color w:val="auto"/>
              </w:rPr>
            </w:pPr>
            <w:r>
              <w:rPr>
                <w:rFonts w:ascii="Arial" w:cs="Arial" w:eastAsia="Arial" w:hAnsi="Arial"/>
                <w:sz w:val="13"/>
                <w:szCs w:val="13"/>
                <w:color w:val="auto"/>
              </w:rPr>
              <w:t>2100 Pennbrook Parkway,</w:t>
            </w:r>
          </w:p>
        </w:tc>
        <w:tc>
          <w:tcPr>
            <w:tcW w:w="2380" w:type="dxa"/>
            <w:vAlign w:val="bottom"/>
            <w:shd w:val="clear" w:color="auto" w:fill="CCEEFF"/>
          </w:tcPr>
          <w:p>
            <w:pPr>
              <w:ind w:left="7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North Wales,</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PA 19454</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480" w:type="dxa"/>
            <w:vAlign w:val="bottom"/>
            <w:shd w:val="clear" w:color="auto" w:fill="CCEEFF"/>
          </w:tcPr>
          <w:p>
            <w:pPr>
              <w:spacing w:after="0"/>
              <w:rPr>
                <w:sz w:val="13"/>
                <w:szCs w:val="13"/>
                <w:color w:val="auto"/>
              </w:rPr>
            </w:pPr>
          </w:p>
        </w:tc>
        <w:tc>
          <w:tcPr>
            <w:tcW w:w="29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480" w:type="dxa"/>
            <w:vAlign w:val="bottom"/>
          </w:tcPr>
          <w:p>
            <w:pPr>
              <w:ind w:left="20"/>
              <w:spacing w:after="0" w:line="139" w:lineRule="exact"/>
              <w:rPr>
                <w:sz w:val="20"/>
                <w:szCs w:val="20"/>
                <w:color w:val="auto"/>
              </w:rPr>
            </w:pPr>
            <w:r>
              <w:rPr>
                <w:rFonts w:ascii="Arial" w:cs="Arial" w:eastAsia="Arial" w:hAnsi="Arial"/>
                <w:sz w:val="13"/>
                <w:szCs w:val="13"/>
                <w:color w:val="auto"/>
              </w:rPr>
              <w:t>Managed Care Strategic Solutions, L.L.C.</w:t>
            </w:r>
          </w:p>
        </w:tc>
        <w:tc>
          <w:tcPr>
            <w:tcW w:w="2960" w:type="dxa"/>
            <w:vAlign w:val="bottom"/>
          </w:tcPr>
          <w:p>
            <w:pPr>
              <w:ind w:left="600"/>
              <w:spacing w:after="0" w:line="139" w:lineRule="exact"/>
              <w:rPr>
                <w:sz w:val="20"/>
                <w:szCs w:val="20"/>
                <w:color w:val="auto"/>
              </w:rPr>
            </w:pPr>
            <w:r>
              <w:rPr>
                <w:rFonts w:ascii="Arial" w:cs="Arial" w:eastAsia="Arial" w:hAnsi="Arial"/>
                <w:sz w:val="13"/>
                <w:szCs w:val="13"/>
                <w:color w:val="auto"/>
              </w:rPr>
              <w:t>19 West College Ave</w:t>
            </w:r>
          </w:p>
        </w:tc>
        <w:tc>
          <w:tcPr>
            <w:tcW w:w="2380" w:type="dxa"/>
            <w:vAlign w:val="bottom"/>
          </w:tcPr>
          <w:p>
            <w:pPr>
              <w:ind w:left="74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Suite 100</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Yardley,</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PA 19067</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480" w:type="dxa"/>
            <w:vAlign w:val="bottom"/>
          </w:tcPr>
          <w:p>
            <w:pPr>
              <w:spacing w:after="0"/>
              <w:rPr>
                <w:sz w:val="13"/>
                <w:szCs w:val="13"/>
                <w:color w:val="auto"/>
              </w:rPr>
            </w:pPr>
          </w:p>
        </w:tc>
        <w:tc>
          <w:tcPr>
            <w:tcW w:w="2960" w:type="dxa"/>
            <w:vAlign w:val="bottom"/>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4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MMMM Consulting, LLC</w:t>
            </w:r>
          </w:p>
        </w:tc>
        <w:tc>
          <w:tcPr>
            <w:tcW w:w="2960" w:type="dxa"/>
            <w:vAlign w:val="bottom"/>
            <w:shd w:val="clear" w:color="auto" w:fill="CCEEFF"/>
          </w:tcPr>
          <w:p>
            <w:pPr>
              <w:ind w:left="600"/>
              <w:spacing w:after="0" w:line="142" w:lineRule="exact"/>
              <w:rPr>
                <w:sz w:val="20"/>
                <w:szCs w:val="20"/>
                <w:color w:val="auto"/>
              </w:rPr>
            </w:pPr>
            <w:r>
              <w:rPr>
                <w:rFonts w:ascii="Arial" w:cs="Arial" w:eastAsia="Arial" w:hAnsi="Arial"/>
                <w:sz w:val="13"/>
                <w:szCs w:val="13"/>
                <w:color w:val="auto"/>
              </w:rPr>
              <w:t>19 West College Ave</w:t>
            </w:r>
          </w:p>
        </w:tc>
        <w:tc>
          <w:tcPr>
            <w:tcW w:w="2380" w:type="dxa"/>
            <w:vAlign w:val="bottom"/>
            <w:shd w:val="clear" w:color="auto" w:fill="CCEEFF"/>
          </w:tcPr>
          <w:p>
            <w:pPr>
              <w:ind w:left="7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Suite 100</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Yardley,</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PA 19067</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480" w:type="dxa"/>
            <w:vAlign w:val="bottom"/>
            <w:shd w:val="clear" w:color="auto" w:fill="CCEEFF"/>
          </w:tcPr>
          <w:p>
            <w:pPr>
              <w:spacing w:after="0"/>
              <w:rPr>
                <w:sz w:val="13"/>
                <w:szCs w:val="13"/>
                <w:color w:val="auto"/>
              </w:rPr>
            </w:pPr>
          </w:p>
        </w:tc>
        <w:tc>
          <w:tcPr>
            <w:tcW w:w="29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480" w:type="dxa"/>
            <w:vAlign w:val="bottom"/>
          </w:tcPr>
          <w:p>
            <w:pPr>
              <w:ind w:left="20"/>
              <w:spacing w:after="0" w:line="139" w:lineRule="exact"/>
              <w:rPr>
                <w:sz w:val="20"/>
                <w:szCs w:val="20"/>
                <w:color w:val="auto"/>
              </w:rPr>
            </w:pPr>
            <w:r>
              <w:rPr>
                <w:rFonts w:ascii="Arial" w:cs="Arial" w:eastAsia="Arial" w:hAnsi="Arial"/>
                <w:sz w:val="13"/>
                <w:szCs w:val="13"/>
                <w:color w:val="auto"/>
              </w:rPr>
              <w:t>MMMM Group, LLC</w:t>
            </w:r>
          </w:p>
        </w:tc>
        <w:tc>
          <w:tcPr>
            <w:tcW w:w="2960" w:type="dxa"/>
            <w:vAlign w:val="bottom"/>
          </w:tcPr>
          <w:p>
            <w:pPr>
              <w:ind w:left="600"/>
              <w:spacing w:after="0" w:line="139" w:lineRule="exact"/>
              <w:rPr>
                <w:sz w:val="20"/>
                <w:szCs w:val="20"/>
                <w:color w:val="auto"/>
              </w:rPr>
            </w:pPr>
            <w:r>
              <w:rPr>
                <w:rFonts w:ascii="Arial" w:cs="Arial" w:eastAsia="Arial" w:hAnsi="Arial"/>
                <w:sz w:val="13"/>
                <w:szCs w:val="13"/>
                <w:color w:val="auto"/>
              </w:rPr>
              <w:t>19 West College Ave</w:t>
            </w:r>
          </w:p>
        </w:tc>
        <w:tc>
          <w:tcPr>
            <w:tcW w:w="2380" w:type="dxa"/>
            <w:vAlign w:val="bottom"/>
          </w:tcPr>
          <w:p>
            <w:pPr>
              <w:ind w:left="74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Suite 100</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Yardley,</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PA 19067</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480" w:type="dxa"/>
            <w:vAlign w:val="bottom"/>
          </w:tcPr>
          <w:p>
            <w:pPr>
              <w:spacing w:after="0"/>
              <w:rPr>
                <w:sz w:val="13"/>
                <w:szCs w:val="13"/>
                <w:color w:val="auto"/>
              </w:rPr>
            </w:pPr>
          </w:p>
        </w:tc>
        <w:tc>
          <w:tcPr>
            <w:tcW w:w="2960" w:type="dxa"/>
            <w:vAlign w:val="bottom"/>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4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MolecularMD Corp.</w:t>
            </w:r>
          </w:p>
        </w:tc>
        <w:tc>
          <w:tcPr>
            <w:tcW w:w="2960" w:type="dxa"/>
            <w:vAlign w:val="bottom"/>
            <w:shd w:val="clear" w:color="auto" w:fill="CCEEFF"/>
          </w:tcPr>
          <w:p>
            <w:pPr>
              <w:ind w:left="600"/>
              <w:spacing w:after="0" w:line="142" w:lineRule="exact"/>
              <w:rPr>
                <w:sz w:val="20"/>
                <w:szCs w:val="20"/>
                <w:color w:val="auto"/>
              </w:rPr>
            </w:pPr>
            <w:r>
              <w:rPr>
                <w:rFonts w:ascii="Arial" w:cs="Arial" w:eastAsia="Arial" w:hAnsi="Arial"/>
                <w:sz w:val="13"/>
                <w:szCs w:val="13"/>
                <w:color w:val="auto"/>
              </w:rPr>
              <w:t>2100 Pennbrook Parkway,</w:t>
            </w:r>
          </w:p>
        </w:tc>
        <w:tc>
          <w:tcPr>
            <w:tcW w:w="2380" w:type="dxa"/>
            <w:vAlign w:val="bottom"/>
            <w:shd w:val="clear" w:color="auto" w:fill="CCEEFF"/>
          </w:tcPr>
          <w:p>
            <w:pPr>
              <w:ind w:left="7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North Wales,</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PA 19454</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480" w:type="dxa"/>
            <w:vAlign w:val="bottom"/>
            <w:shd w:val="clear" w:color="auto" w:fill="CCEEFF"/>
          </w:tcPr>
          <w:p>
            <w:pPr>
              <w:spacing w:after="0"/>
              <w:rPr>
                <w:sz w:val="13"/>
                <w:szCs w:val="13"/>
                <w:color w:val="auto"/>
              </w:rPr>
            </w:pPr>
          </w:p>
        </w:tc>
        <w:tc>
          <w:tcPr>
            <w:tcW w:w="29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480" w:type="dxa"/>
            <w:vAlign w:val="bottom"/>
          </w:tcPr>
          <w:p>
            <w:pPr>
              <w:ind w:left="20"/>
              <w:spacing w:after="0" w:line="139" w:lineRule="exact"/>
              <w:rPr>
                <w:sz w:val="20"/>
                <w:szCs w:val="20"/>
                <w:color w:val="auto"/>
              </w:rPr>
            </w:pPr>
            <w:r>
              <w:rPr>
                <w:rFonts w:ascii="Arial" w:cs="Arial" w:eastAsia="Arial" w:hAnsi="Arial"/>
                <w:sz w:val="13"/>
                <w:szCs w:val="13"/>
                <w:color w:val="auto"/>
              </w:rPr>
              <w:t>PMG Research, Inc. **********</w:t>
            </w:r>
          </w:p>
        </w:tc>
        <w:tc>
          <w:tcPr>
            <w:tcW w:w="2960" w:type="dxa"/>
            <w:vAlign w:val="bottom"/>
          </w:tcPr>
          <w:p>
            <w:pPr>
              <w:ind w:left="600"/>
              <w:spacing w:after="0" w:line="139" w:lineRule="exact"/>
              <w:rPr>
                <w:sz w:val="20"/>
                <w:szCs w:val="20"/>
                <w:color w:val="auto"/>
              </w:rPr>
            </w:pPr>
            <w:r>
              <w:rPr>
                <w:rFonts w:ascii="Arial" w:cs="Arial" w:eastAsia="Arial" w:hAnsi="Arial"/>
                <w:sz w:val="13"/>
                <w:szCs w:val="13"/>
                <w:color w:val="auto"/>
              </w:rPr>
              <w:t>1901 S. Hawthorne Road</w:t>
            </w:r>
          </w:p>
        </w:tc>
        <w:tc>
          <w:tcPr>
            <w:tcW w:w="2380" w:type="dxa"/>
            <w:vAlign w:val="bottom"/>
          </w:tcPr>
          <w:p>
            <w:pPr>
              <w:ind w:left="74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Suite 306</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Winston-Salem</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North Carolina, 27103</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480" w:type="dxa"/>
            <w:vAlign w:val="bottom"/>
          </w:tcPr>
          <w:p>
            <w:pPr>
              <w:spacing w:after="0"/>
              <w:rPr>
                <w:sz w:val="13"/>
                <w:szCs w:val="13"/>
                <w:color w:val="auto"/>
              </w:rPr>
            </w:pPr>
          </w:p>
        </w:tc>
        <w:tc>
          <w:tcPr>
            <w:tcW w:w="2960" w:type="dxa"/>
            <w:vAlign w:val="bottom"/>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4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PMG Research of Bristol, LLC ***********</w:t>
            </w:r>
          </w:p>
        </w:tc>
        <w:tc>
          <w:tcPr>
            <w:tcW w:w="2960" w:type="dxa"/>
            <w:vAlign w:val="bottom"/>
            <w:shd w:val="clear" w:color="auto" w:fill="CCEEFF"/>
          </w:tcPr>
          <w:p>
            <w:pPr>
              <w:ind w:left="600"/>
              <w:spacing w:after="0" w:line="142" w:lineRule="exact"/>
              <w:rPr>
                <w:sz w:val="20"/>
                <w:szCs w:val="20"/>
                <w:color w:val="auto"/>
              </w:rPr>
            </w:pPr>
            <w:r>
              <w:rPr>
                <w:rFonts w:ascii="Arial" w:cs="Arial" w:eastAsia="Arial" w:hAnsi="Arial"/>
                <w:sz w:val="13"/>
                <w:szCs w:val="13"/>
                <w:color w:val="auto"/>
              </w:rPr>
              <w:t>1958 West State Street,</w:t>
            </w:r>
          </w:p>
        </w:tc>
        <w:tc>
          <w:tcPr>
            <w:tcW w:w="2380" w:type="dxa"/>
            <w:vAlign w:val="bottom"/>
            <w:shd w:val="clear" w:color="auto" w:fill="CCEEFF"/>
          </w:tcPr>
          <w:p>
            <w:pPr>
              <w:ind w:left="7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Bristol,</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Tennessee 37620</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480" w:type="dxa"/>
            <w:vAlign w:val="bottom"/>
            <w:shd w:val="clear" w:color="auto" w:fill="CCEEFF"/>
          </w:tcPr>
          <w:p>
            <w:pPr>
              <w:spacing w:after="0"/>
              <w:rPr>
                <w:sz w:val="13"/>
                <w:szCs w:val="13"/>
                <w:color w:val="auto"/>
              </w:rPr>
            </w:pPr>
          </w:p>
        </w:tc>
        <w:tc>
          <w:tcPr>
            <w:tcW w:w="29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480" w:type="dxa"/>
            <w:vAlign w:val="bottom"/>
          </w:tcPr>
          <w:p>
            <w:pPr>
              <w:ind w:left="20"/>
              <w:spacing w:after="0" w:line="139" w:lineRule="exact"/>
              <w:rPr>
                <w:sz w:val="20"/>
                <w:szCs w:val="20"/>
                <w:color w:val="auto"/>
              </w:rPr>
            </w:pPr>
            <w:r>
              <w:rPr>
                <w:rFonts w:ascii="Arial" w:cs="Arial" w:eastAsia="Arial" w:hAnsi="Arial"/>
                <w:sz w:val="13"/>
                <w:szCs w:val="13"/>
                <w:color w:val="auto"/>
              </w:rPr>
              <w:t>PMG Research of Charleston, LLC ************</w:t>
            </w:r>
          </w:p>
        </w:tc>
        <w:tc>
          <w:tcPr>
            <w:tcW w:w="2960" w:type="dxa"/>
            <w:vAlign w:val="bottom"/>
          </w:tcPr>
          <w:p>
            <w:pPr>
              <w:ind w:left="600"/>
              <w:spacing w:after="0" w:line="139" w:lineRule="exact"/>
              <w:rPr>
                <w:sz w:val="20"/>
                <w:szCs w:val="20"/>
                <w:color w:val="auto"/>
              </w:rPr>
            </w:pPr>
            <w:r>
              <w:rPr>
                <w:rFonts w:ascii="Arial" w:cs="Arial" w:eastAsia="Arial" w:hAnsi="Arial"/>
                <w:sz w:val="13"/>
                <w:szCs w:val="13"/>
                <w:color w:val="auto"/>
              </w:rPr>
              <w:t>180 Wingo Way,</w:t>
            </w:r>
          </w:p>
        </w:tc>
        <w:tc>
          <w:tcPr>
            <w:tcW w:w="2380" w:type="dxa"/>
            <w:vAlign w:val="bottom"/>
          </w:tcPr>
          <w:p>
            <w:pPr>
              <w:ind w:left="74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Suite 203,</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Mt. Pleasant,</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South Carolina 29464</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480" w:type="dxa"/>
            <w:vAlign w:val="bottom"/>
          </w:tcPr>
          <w:p>
            <w:pPr>
              <w:spacing w:after="0"/>
              <w:rPr>
                <w:sz w:val="13"/>
                <w:szCs w:val="13"/>
                <w:color w:val="auto"/>
              </w:rPr>
            </w:pPr>
          </w:p>
        </w:tc>
        <w:tc>
          <w:tcPr>
            <w:tcW w:w="2960" w:type="dxa"/>
            <w:vAlign w:val="bottom"/>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4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PMG Research of Charlotte, LLC *************</w:t>
            </w:r>
          </w:p>
        </w:tc>
        <w:tc>
          <w:tcPr>
            <w:tcW w:w="2960" w:type="dxa"/>
            <w:vAlign w:val="bottom"/>
            <w:shd w:val="clear" w:color="auto" w:fill="CCEEFF"/>
          </w:tcPr>
          <w:p>
            <w:pPr>
              <w:ind w:left="600"/>
              <w:spacing w:after="0" w:line="142" w:lineRule="exact"/>
              <w:rPr>
                <w:sz w:val="20"/>
                <w:szCs w:val="20"/>
                <w:color w:val="auto"/>
              </w:rPr>
            </w:pPr>
            <w:r>
              <w:rPr>
                <w:rFonts w:ascii="Arial" w:cs="Arial" w:eastAsia="Arial" w:hAnsi="Arial"/>
                <w:sz w:val="13"/>
                <w:szCs w:val="13"/>
                <w:color w:val="auto"/>
              </w:rPr>
              <w:t>1700 Abbey Place,</w:t>
            </w:r>
          </w:p>
        </w:tc>
        <w:tc>
          <w:tcPr>
            <w:tcW w:w="2380" w:type="dxa"/>
            <w:vAlign w:val="bottom"/>
            <w:shd w:val="clear" w:color="auto" w:fill="CCEEFF"/>
          </w:tcPr>
          <w:p>
            <w:pPr>
              <w:ind w:left="7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Suite 201,</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Charlotte,</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North Carolina 28209</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480" w:type="dxa"/>
            <w:vAlign w:val="bottom"/>
            <w:shd w:val="clear" w:color="auto" w:fill="CCEEFF"/>
          </w:tcPr>
          <w:p>
            <w:pPr>
              <w:spacing w:after="0"/>
              <w:rPr>
                <w:sz w:val="13"/>
                <w:szCs w:val="13"/>
                <w:color w:val="auto"/>
              </w:rPr>
            </w:pPr>
          </w:p>
        </w:tc>
        <w:tc>
          <w:tcPr>
            <w:tcW w:w="29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480" w:type="dxa"/>
            <w:vAlign w:val="bottom"/>
          </w:tcPr>
          <w:p>
            <w:pPr>
              <w:ind w:left="20"/>
              <w:spacing w:after="0" w:line="139" w:lineRule="exact"/>
              <w:rPr>
                <w:sz w:val="20"/>
                <w:szCs w:val="20"/>
                <w:color w:val="auto"/>
              </w:rPr>
            </w:pPr>
            <w:r>
              <w:rPr>
                <w:rFonts w:ascii="Arial" w:cs="Arial" w:eastAsia="Arial" w:hAnsi="Arial"/>
                <w:sz w:val="13"/>
                <w:szCs w:val="13"/>
                <w:color w:val="auto"/>
              </w:rPr>
              <w:t>PMG Research of Christie Clinic, LLC **************</w:t>
            </w:r>
          </w:p>
        </w:tc>
        <w:tc>
          <w:tcPr>
            <w:tcW w:w="2960" w:type="dxa"/>
            <w:vAlign w:val="bottom"/>
          </w:tcPr>
          <w:p>
            <w:pPr>
              <w:ind w:left="600"/>
              <w:spacing w:after="0" w:line="139" w:lineRule="exact"/>
              <w:rPr>
                <w:sz w:val="20"/>
                <w:szCs w:val="20"/>
                <w:color w:val="auto"/>
              </w:rPr>
            </w:pPr>
            <w:r>
              <w:rPr>
                <w:rFonts w:ascii="Arial" w:cs="Arial" w:eastAsia="Arial" w:hAnsi="Arial"/>
                <w:sz w:val="13"/>
                <w:szCs w:val="13"/>
                <w:color w:val="auto"/>
              </w:rPr>
              <w:t>101 West University Avenue,</w:t>
            </w:r>
          </w:p>
        </w:tc>
        <w:tc>
          <w:tcPr>
            <w:tcW w:w="238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Champaign,</w:t>
            </w:r>
          </w:p>
        </w:tc>
        <w:tc>
          <w:tcPr>
            <w:tcW w:w="2380" w:type="dxa"/>
            <w:vAlign w:val="bottom"/>
          </w:tcPr>
          <w:p>
            <w:pPr>
              <w:ind w:left="7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2960" w:type="dxa"/>
            <w:vAlign w:val="bottom"/>
          </w:tcPr>
          <w:p>
            <w:pPr>
              <w:ind w:left="600"/>
              <w:spacing w:after="0" w:line="128" w:lineRule="exact"/>
              <w:rPr>
                <w:sz w:val="20"/>
                <w:szCs w:val="20"/>
                <w:color w:val="auto"/>
              </w:rPr>
            </w:pPr>
            <w:r>
              <w:rPr>
                <w:rFonts w:ascii="Arial" w:cs="Arial" w:eastAsia="Arial" w:hAnsi="Arial"/>
                <w:sz w:val="13"/>
                <w:szCs w:val="13"/>
                <w:color w:val="auto"/>
              </w:rPr>
              <w:t>IL 61820</w:t>
            </w: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480" w:type="dxa"/>
            <w:vAlign w:val="bottom"/>
          </w:tcPr>
          <w:p>
            <w:pPr>
              <w:spacing w:after="0"/>
              <w:rPr>
                <w:sz w:val="13"/>
                <w:szCs w:val="13"/>
                <w:color w:val="auto"/>
              </w:rPr>
            </w:pPr>
          </w:p>
        </w:tc>
        <w:tc>
          <w:tcPr>
            <w:tcW w:w="2960" w:type="dxa"/>
            <w:vAlign w:val="bottom"/>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4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PMG Research of Hickory, LLC ***************</w:t>
            </w:r>
          </w:p>
        </w:tc>
        <w:tc>
          <w:tcPr>
            <w:tcW w:w="2960" w:type="dxa"/>
            <w:vAlign w:val="bottom"/>
            <w:shd w:val="clear" w:color="auto" w:fill="CCEEFF"/>
          </w:tcPr>
          <w:p>
            <w:pPr>
              <w:ind w:left="600"/>
              <w:spacing w:after="0" w:line="142" w:lineRule="exact"/>
              <w:rPr>
                <w:sz w:val="20"/>
                <w:szCs w:val="20"/>
                <w:color w:val="auto"/>
              </w:rPr>
            </w:pPr>
            <w:r>
              <w:rPr>
                <w:rFonts w:ascii="Arial" w:cs="Arial" w:eastAsia="Arial" w:hAnsi="Arial"/>
                <w:sz w:val="13"/>
                <w:szCs w:val="13"/>
                <w:color w:val="auto"/>
              </w:rPr>
              <w:t>221 13th Ave Place NW</w:t>
            </w:r>
          </w:p>
        </w:tc>
        <w:tc>
          <w:tcPr>
            <w:tcW w:w="2380" w:type="dxa"/>
            <w:vAlign w:val="bottom"/>
            <w:shd w:val="clear" w:color="auto" w:fill="CCEEFF"/>
          </w:tcPr>
          <w:p>
            <w:pPr>
              <w:ind w:left="74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Suite 201</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Hickory</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296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North Carolina 28601</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480" w:type="dxa"/>
            <w:vAlign w:val="bottom"/>
            <w:shd w:val="clear" w:color="auto" w:fill="CCEEFF"/>
          </w:tcPr>
          <w:p>
            <w:pPr>
              <w:spacing w:after="0"/>
              <w:rPr>
                <w:sz w:val="13"/>
                <w:szCs w:val="13"/>
                <w:color w:val="auto"/>
              </w:rPr>
            </w:pPr>
          </w:p>
        </w:tc>
        <w:tc>
          <w:tcPr>
            <w:tcW w:w="29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United States</w:t>
            </w:r>
          </w:p>
        </w:tc>
        <w:tc>
          <w:tcPr>
            <w:tcW w:w="238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260"/>
          </w:cols>
          <w:pgMar w:left="300" w:top="696"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70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Registered Office</w:t>
            </w:r>
          </w:p>
        </w:tc>
        <w:tc>
          <w:tcPr>
            <w:tcW w:w="246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3660" w:type="dxa"/>
            <w:vAlign w:val="bottom"/>
            <w:tcBorders>
              <w:bottom w:val="single" w:sz="8" w:color="auto"/>
            </w:tcBorders>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30"/>
        </w:trPr>
        <w:tc>
          <w:tcPr>
            <w:tcW w:w="3660" w:type="dxa"/>
            <w:vAlign w:val="bottom"/>
          </w:tcPr>
          <w:p>
            <w:pPr>
              <w:ind w:left="20"/>
              <w:spacing w:after="0" w:line="131" w:lineRule="exact"/>
              <w:rPr>
                <w:sz w:val="20"/>
                <w:szCs w:val="20"/>
                <w:color w:val="auto"/>
              </w:rPr>
            </w:pPr>
            <w:r>
              <w:rPr>
                <w:rFonts w:ascii="Arial" w:cs="Arial" w:eastAsia="Arial" w:hAnsi="Arial"/>
                <w:sz w:val="13"/>
                <w:szCs w:val="13"/>
                <w:color w:val="auto"/>
              </w:rPr>
              <w:t>PMG Research of Raleigh, LLC ****************</w:t>
            </w:r>
          </w:p>
        </w:tc>
        <w:tc>
          <w:tcPr>
            <w:tcW w:w="2700" w:type="dxa"/>
            <w:vAlign w:val="bottom"/>
          </w:tcPr>
          <w:p>
            <w:pPr>
              <w:ind w:left="420"/>
              <w:spacing w:after="0" w:line="131" w:lineRule="exact"/>
              <w:rPr>
                <w:sz w:val="20"/>
                <w:szCs w:val="20"/>
                <w:color w:val="auto"/>
              </w:rPr>
            </w:pPr>
            <w:r>
              <w:rPr>
                <w:rFonts w:ascii="Arial" w:cs="Arial" w:eastAsia="Arial" w:hAnsi="Arial"/>
                <w:sz w:val="13"/>
                <w:szCs w:val="13"/>
                <w:color w:val="auto"/>
              </w:rPr>
              <w:t>3521 Haworth Drive,</w:t>
            </w:r>
          </w:p>
        </w:tc>
        <w:tc>
          <w:tcPr>
            <w:tcW w:w="2460" w:type="dxa"/>
            <w:vAlign w:val="bottom"/>
          </w:tcPr>
          <w:p>
            <w:pPr>
              <w:ind w:left="820"/>
              <w:spacing w:after="0" w:line="131"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Suite 100,</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Raleigh,</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North Carolina 27609</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660" w:type="dxa"/>
            <w:vAlign w:val="bottom"/>
          </w:tcPr>
          <w:p>
            <w:pPr>
              <w:spacing w:after="0"/>
              <w:rPr>
                <w:sz w:val="13"/>
                <w:szCs w:val="13"/>
                <w:color w:val="auto"/>
              </w:rPr>
            </w:pPr>
          </w:p>
        </w:tc>
        <w:tc>
          <w:tcPr>
            <w:tcW w:w="2700" w:type="dxa"/>
            <w:vAlign w:val="bottom"/>
          </w:tcPr>
          <w:p>
            <w:pPr>
              <w:ind w:left="4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6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PMG Research of Rocky Mount, LLC *****************</w:t>
            </w:r>
          </w:p>
        </w:tc>
        <w:tc>
          <w:tcPr>
            <w:tcW w:w="2700" w:type="dxa"/>
            <w:vAlign w:val="bottom"/>
            <w:shd w:val="clear" w:color="auto" w:fill="CCEEFF"/>
          </w:tcPr>
          <w:p>
            <w:pPr>
              <w:ind w:left="420"/>
              <w:spacing w:after="0" w:line="142" w:lineRule="exact"/>
              <w:rPr>
                <w:sz w:val="20"/>
                <w:szCs w:val="20"/>
                <w:color w:val="auto"/>
              </w:rPr>
            </w:pPr>
            <w:r>
              <w:rPr>
                <w:rFonts w:ascii="Arial" w:cs="Arial" w:eastAsia="Arial" w:hAnsi="Arial"/>
                <w:sz w:val="13"/>
                <w:szCs w:val="13"/>
                <w:color w:val="auto"/>
              </w:rPr>
              <w:t>901 N. Winstead Avenue,</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shd w:val="clear" w:color="auto" w:fill="CCEEFF"/>
          </w:tcPr>
          <w:p>
            <w:pPr>
              <w:spacing w:after="0"/>
              <w:rPr>
                <w:sz w:val="11"/>
                <w:szCs w:val="11"/>
                <w:color w:val="auto"/>
              </w:rPr>
            </w:pPr>
          </w:p>
        </w:tc>
        <w:tc>
          <w:tcPr>
            <w:tcW w:w="270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Rocky Mount,</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60" w:type="dxa"/>
            <w:vAlign w:val="bottom"/>
            <w:shd w:val="clear" w:color="auto" w:fill="CCEEFF"/>
          </w:tcPr>
          <w:p>
            <w:pPr>
              <w:spacing w:after="0"/>
              <w:rPr>
                <w:sz w:val="11"/>
                <w:szCs w:val="11"/>
                <w:color w:val="auto"/>
              </w:rPr>
            </w:pPr>
          </w:p>
        </w:tc>
        <w:tc>
          <w:tcPr>
            <w:tcW w:w="270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North Carolina 27804</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3"/>
        </w:trPr>
        <w:tc>
          <w:tcPr>
            <w:tcW w:w="3660" w:type="dxa"/>
            <w:vAlign w:val="bottom"/>
            <w:shd w:val="clear" w:color="auto" w:fill="CCEEFF"/>
          </w:tcPr>
          <w:p>
            <w:pPr>
              <w:spacing w:after="0"/>
              <w:rPr>
                <w:sz w:val="13"/>
                <w:szCs w:val="13"/>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United States</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2"/>
        </w:trPr>
        <w:tc>
          <w:tcPr>
            <w:tcW w:w="366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39"/>
        </w:trPr>
        <w:tc>
          <w:tcPr>
            <w:tcW w:w="3660" w:type="dxa"/>
            <w:vAlign w:val="bottom"/>
          </w:tcPr>
          <w:p>
            <w:pPr>
              <w:ind w:left="20"/>
              <w:spacing w:after="0" w:line="139" w:lineRule="exact"/>
              <w:rPr>
                <w:sz w:val="20"/>
                <w:szCs w:val="20"/>
                <w:color w:val="auto"/>
              </w:rPr>
            </w:pPr>
            <w:r>
              <w:rPr>
                <w:rFonts w:ascii="Arial" w:cs="Arial" w:eastAsia="Arial" w:hAnsi="Arial"/>
                <w:sz w:val="13"/>
                <w:szCs w:val="13"/>
                <w:color w:val="auto"/>
              </w:rPr>
              <w:t>PMG Research of Salisbury, LLC ******************</w:t>
            </w:r>
          </w:p>
        </w:tc>
        <w:tc>
          <w:tcPr>
            <w:tcW w:w="2700" w:type="dxa"/>
            <w:vAlign w:val="bottom"/>
          </w:tcPr>
          <w:p>
            <w:pPr>
              <w:ind w:left="420"/>
              <w:spacing w:after="0" w:line="139" w:lineRule="exact"/>
              <w:rPr>
                <w:sz w:val="20"/>
                <w:szCs w:val="20"/>
                <w:color w:val="auto"/>
              </w:rPr>
            </w:pPr>
            <w:r>
              <w:rPr>
                <w:rFonts w:ascii="Arial" w:cs="Arial" w:eastAsia="Arial" w:hAnsi="Arial"/>
                <w:sz w:val="13"/>
                <w:szCs w:val="13"/>
                <w:color w:val="auto"/>
              </w:rPr>
              <w:t>410 Mocksville Avenue,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Salisbury,</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North Carolina 28144</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660" w:type="dxa"/>
            <w:vAlign w:val="bottom"/>
          </w:tcPr>
          <w:p>
            <w:pPr>
              <w:spacing w:after="0"/>
              <w:rPr>
                <w:sz w:val="13"/>
                <w:szCs w:val="13"/>
                <w:color w:val="auto"/>
              </w:rPr>
            </w:pPr>
          </w:p>
        </w:tc>
        <w:tc>
          <w:tcPr>
            <w:tcW w:w="2700" w:type="dxa"/>
            <w:vAlign w:val="bottom"/>
          </w:tcPr>
          <w:p>
            <w:pPr>
              <w:ind w:left="4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6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PMG Research of Wilmington, LLC *******************</w:t>
            </w:r>
          </w:p>
        </w:tc>
        <w:tc>
          <w:tcPr>
            <w:tcW w:w="2700" w:type="dxa"/>
            <w:vAlign w:val="bottom"/>
            <w:shd w:val="clear" w:color="auto" w:fill="CCEEFF"/>
          </w:tcPr>
          <w:p>
            <w:pPr>
              <w:ind w:left="420"/>
              <w:spacing w:after="0" w:line="142" w:lineRule="exact"/>
              <w:rPr>
                <w:sz w:val="20"/>
                <w:szCs w:val="20"/>
                <w:color w:val="auto"/>
              </w:rPr>
            </w:pPr>
            <w:r>
              <w:rPr>
                <w:rFonts w:ascii="Arial" w:cs="Arial" w:eastAsia="Arial" w:hAnsi="Arial"/>
                <w:sz w:val="13"/>
                <w:szCs w:val="13"/>
                <w:color w:val="auto"/>
              </w:rPr>
              <w:t>1907 Tradd Court,</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shd w:val="clear" w:color="auto" w:fill="CCEEFF"/>
          </w:tcPr>
          <w:p>
            <w:pPr>
              <w:spacing w:after="0"/>
              <w:rPr>
                <w:sz w:val="11"/>
                <w:szCs w:val="11"/>
                <w:color w:val="auto"/>
              </w:rPr>
            </w:pPr>
          </w:p>
        </w:tc>
        <w:tc>
          <w:tcPr>
            <w:tcW w:w="270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Wilmington,</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60" w:type="dxa"/>
            <w:vAlign w:val="bottom"/>
            <w:shd w:val="clear" w:color="auto" w:fill="CCEEFF"/>
          </w:tcPr>
          <w:p>
            <w:pPr>
              <w:spacing w:after="0"/>
              <w:rPr>
                <w:sz w:val="11"/>
                <w:szCs w:val="11"/>
                <w:color w:val="auto"/>
              </w:rPr>
            </w:pPr>
          </w:p>
        </w:tc>
        <w:tc>
          <w:tcPr>
            <w:tcW w:w="270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North Carolina 28401</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660" w:type="dxa"/>
            <w:vAlign w:val="bottom"/>
            <w:shd w:val="clear" w:color="auto" w:fill="CCEEFF"/>
          </w:tcPr>
          <w:p>
            <w:pPr>
              <w:spacing w:after="0"/>
              <w:rPr>
                <w:sz w:val="13"/>
                <w:szCs w:val="13"/>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United States</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660" w:type="dxa"/>
            <w:vAlign w:val="bottom"/>
          </w:tcPr>
          <w:p>
            <w:pPr>
              <w:ind w:left="20"/>
              <w:spacing w:after="0" w:line="139" w:lineRule="exact"/>
              <w:rPr>
                <w:sz w:val="20"/>
                <w:szCs w:val="20"/>
                <w:color w:val="auto"/>
              </w:rPr>
            </w:pPr>
            <w:r>
              <w:rPr>
                <w:rFonts w:ascii="Arial" w:cs="Arial" w:eastAsia="Arial" w:hAnsi="Arial"/>
                <w:sz w:val="13"/>
                <w:szCs w:val="13"/>
                <w:color w:val="auto"/>
              </w:rPr>
              <w:t>PMG Research of Winston-Salem, LLC ********************</w:t>
            </w:r>
          </w:p>
        </w:tc>
        <w:tc>
          <w:tcPr>
            <w:tcW w:w="2700" w:type="dxa"/>
            <w:vAlign w:val="bottom"/>
          </w:tcPr>
          <w:p>
            <w:pPr>
              <w:ind w:left="420"/>
              <w:spacing w:after="0" w:line="139" w:lineRule="exact"/>
              <w:rPr>
                <w:sz w:val="20"/>
                <w:szCs w:val="20"/>
                <w:color w:val="auto"/>
              </w:rPr>
            </w:pPr>
            <w:r>
              <w:rPr>
                <w:rFonts w:ascii="Arial" w:cs="Arial" w:eastAsia="Arial" w:hAnsi="Arial"/>
                <w:sz w:val="13"/>
                <w:szCs w:val="13"/>
                <w:color w:val="auto"/>
              </w:rPr>
              <w:t>1901 S. Hawthorne Road</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Suite 306</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Winston-Salem</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North Carolina 27103</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5"/>
        </w:trPr>
        <w:tc>
          <w:tcPr>
            <w:tcW w:w="3660" w:type="dxa"/>
            <w:vAlign w:val="bottom"/>
          </w:tcPr>
          <w:p>
            <w:pPr>
              <w:spacing w:after="0"/>
              <w:rPr>
                <w:sz w:val="13"/>
                <w:szCs w:val="13"/>
                <w:color w:val="auto"/>
              </w:rPr>
            </w:pPr>
          </w:p>
        </w:tc>
        <w:tc>
          <w:tcPr>
            <w:tcW w:w="2700" w:type="dxa"/>
            <w:vAlign w:val="bottom"/>
          </w:tcPr>
          <w:p>
            <w:pPr>
              <w:ind w:left="4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42"/>
        </w:trPr>
        <w:tc>
          <w:tcPr>
            <w:tcW w:w="36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PriceSpective LLC</w:t>
            </w:r>
          </w:p>
        </w:tc>
        <w:tc>
          <w:tcPr>
            <w:tcW w:w="2700" w:type="dxa"/>
            <w:vAlign w:val="bottom"/>
            <w:shd w:val="clear" w:color="auto" w:fill="CCEEFF"/>
          </w:tcPr>
          <w:p>
            <w:pPr>
              <w:ind w:left="420"/>
              <w:spacing w:after="0" w:line="142" w:lineRule="exact"/>
              <w:rPr>
                <w:sz w:val="20"/>
                <w:szCs w:val="20"/>
                <w:color w:val="auto"/>
              </w:rPr>
            </w:pPr>
            <w:r>
              <w:rPr>
                <w:rFonts w:ascii="Arial" w:cs="Arial" w:eastAsia="Arial" w:hAnsi="Arial"/>
                <w:sz w:val="13"/>
                <w:szCs w:val="13"/>
                <w:color w:val="auto"/>
              </w:rPr>
              <w:t>2100 Pennbrook Parkway,</w:t>
            </w:r>
          </w:p>
        </w:tc>
        <w:tc>
          <w:tcPr>
            <w:tcW w:w="2460" w:type="dxa"/>
            <w:vAlign w:val="bottom"/>
            <w:shd w:val="clear" w:color="auto" w:fill="CCEEFF"/>
          </w:tcPr>
          <w:p>
            <w:pPr>
              <w:ind w:left="820"/>
              <w:spacing w:after="0" w:line="142"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shd w:val="clear" w:color="auto" w:fill="CCEEFF"/>
          </w:tcPr>
          <w:p>
            <w:pPr>
              <w:spacing w:after="0"/>
              <w:rPr>
                <w:sz w:val="11"/>
                <w:szCs w:val="11"/>
                <w:color w:val="auto"/>
              </w:rPr>
            </w:pPr>
          </w:p>
        </w:tc>
        <w:tc>
          <w:tcPr>
            <w:tcW w:w="270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North Wales,</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60" w:type="dxa"/>
            <w:vAlign w:val="bottom"/>
            <w:shd w:val="clear" w:color="auto" w:fill="CCEEFF"/>
          </w:tcPr>
          <w:p>
            <w:pPr>
              <w:spacing w:after="0"/>
              <w:rPr>
                <w:sz w:val="11"/>
                <w:szCs w:val="11"/>
                <w:color w:val="auto"/>
              </w:rPr>
            </w:pPr>
          </w:p>
        </w:tc>
        <w:tc>
          <w:tcPr>
            <w:tcW w:w="2700" w:type="dxa"/>
            <w:vAlign w:val="bottom"/>
            <w:shd w:val="clear" w:color="auto" w:fill="CCEEFF"/>
          </w:tcPr>
          <w:p>
            <w:pPr>
              <w:ind w:left="420"/>
              <w:spacing w:after="0" w:line="128" w:lineRule="exact"/>
              <w:rPr>
                <w:sz w:val="20"/>
                <w:szCs w:val="20"/>
                <w:color w:val="auto"/>
              </w:rPr>
            </w:pPr>
            <w:r>
              <w:rPr>
                <w:rFonts w:ascii="Arial" w:cs="Arial" w:eastAsia="Arial" w:hAnsi="Arial"/>
                <w:sz w:val="13"/>
                <w:szCs w:val="13"/>
                <w:color w:val="auto"/>
              </w:rPr>
              <w:t>PA 19454</w:t>
            </w:r>
          </w:p>
        </w:tc>
        <w:tc>
          <w:tcPr>
            <w:tcW w:w="24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58"/>
        </w:trPr>
        <w:tc>
          <w:tcPr>
            <w:tcW w:w="3660" w:type="dxa"/>
            <w:vAlign w:val="bottom"/>
            <w:shd w:val="clear" w:color="auto" w:fill="CCEEFF"/>
          </w:tcPr>
          <w:p>
            <w:pPr>
              <w:spacing w:after="0"/>
              <w:rPr>
                <w:sz w:val="13"/>
                <w:szCs w:val="13"/>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United States</w:t>
            </w:r>
          </w:p>
        </w:tc>
        <w:tc>
          <w:tcPr>
            <w:tcW w:w="2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39"/>
        </w:trPr>
        <w:tc>
          <w:tcPr>
            <w:tcW w:w="3660" w:type="dxa"/>
            <w:vAlign w:val="bottom"/>
          </w:tcPr>
          <w:p>
            <w:pPr>
              <w:ind w:left="20"/>
              <w:spacing w:after="0" w:line="139" w:lineRule="exact"/>
              <w:rPr>
                <w:sz w:val="20"/>
                <w:szCs w:val="20"/>
                <w:color w:val="auto"/>
              </w:rPr>
            </w:pPr>
            <w:r>
              <w:rPr>
                <w:rFonts w:ascii="Arial" w:cs="Arial" w:eastAsia="Arial" w:hAnsi="Arial"/>
                <w:sz w:val="13"/>
                <w:szCs w:val="13"/>
                <w:color w:val="auto"/>
              </w:rPr>
              <w:t>PubsHub LLC</w:t>
            </w:r>
          </w:p>
        </w:tc>
        <w:tc>
          <w:tcPr>
            <w:tcW w:w="2700" w:type="dxa"/>
            <w:vAlign w:val="bottom"/>
          </w:tcPr>
          <w:p>
            <w:pPr>
              <w:ind w:left="420"/>
              <w:spacing w:after="0" w:line="139" w:lineRule="exact"/>
              <w:rPr>
                <w:sz w:val="20"/>
                <w:szCs w:val="20"/>
                <w:color w:val="auto"/>
              </w:rPr>
            </w:pPr>
            <w:r>
              <w:rPr>
                <w:rFonts w:ascii="Arial" w:cs="Arial" w:eastAsia="Arial" w:hAnsi="Arial"/>
                <w:sz w:val="13"/>
                <w:szCs w:val="13"/>
                <w:color w:val="auto"/>
              </w:rPr>
              <w:t>19 West College Ave</w:t>
            </w:r>
          </w:p>
        </w:tc>
        <w:tc>
          <w:tcPr>
            <w:tcW w:w="2460" w:type="dxa"/>
            <w:vAlign w:val="bottom"/>
          </w:tcPr>
          <w:p>
            <w:pPr>
              <w:ind w:left="820"/>
              <w:spacing w:after="0" w:line="139"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Suite 100</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Yardley,</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60" w:type="dxa"/>
            <w:vAlign w:val="bottom"/>
          </w:tcPr>
          <w:p>
            <w:pPr>
              <w:spacing w:after="0"/>
              <w:rPr>
                <w:sz w:val="11"/>
                <w:szCs w:val="11"/>
                <w:color w:val="auto"/>
              </w:rPr>
            </w:pPr>
          </w:p>
        </w:tc>
        <w:tc>
          <w:tcPr>
            <w:tcW w:w="2700" w:type="dxa"/>
            <w:vAlign w:val="bottom"/>
          </w:tcPr>
          <w:p>
            <w:pPr>
              <w:ind w:left="420"/>
              <w:spacing w:after="0" w:line="128" w:lineRule="exact"/>
              <w:rPr>
                <w:sz w:val="20"/>
                <w:szCs w:val="20"/>
                <w:color w:val="auto"/>
              </w:rPr>
            </w:pPr>
            <w:r>
              <w:rPr>
                <w:rFonts w:ascii="Arial" w:cs="Arial" w:eastAsia="Arial" w:hAnsi="Arial"/>
                <w:sz w:val="13"/>
                <w:szCs w:val="13"/>
                <w:color w:val="auto"/>
              </w:rPr>
              <w:t>PA 19067</w:t>
            </w:r>
          </w:p>
        </w:tc>
        <w:tc>
          <w:tcPr>
            <w:tcW w:w="24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53"/>
        </w:trPr>
        <w:tc>
          <w:tcPr>
            <w:tcW w:w="3660" w:type="dxa"/>
            <w:vAlign w:val="bottom"/>
          </w:tcPr>
          <w:p>
            <w:pPr>
              <w:spacing w:after="0"/>
              <w:rPr>
                <w:sz w:val="13"/>
                <w:szCs w:val="13"/>
                <w:color w:val="auto"/>
              </w:rPr>
            </w:pPr>
          </w:p>
        </w:tc>
        <w:tc>
          <w:tcPr>
            <w:tcW w:w="2700" w:type="dxa"/>
            <w:vAlign w:val="bottom"/>
          </w:tcPr>
          <w:p>
            <w:pPr>
              <w:ind w:left="420"/>
              <w:spacing w:after="0"/>
              <w:rPr>
                <w:sz w:val="20"/>
                <w:szCs w:val="20"/>
                <w:color w:val="auto"/>
              </w:rPr>
            </w:pPr>
            <w:r>
              <w:rPr>
                <w:rFonts w:ascii="Arial" w:cs="Arial" w:eastAsia="Arial" w:hAnsi="Arial"/>
                <w:sz w:val="13"/>
                <w:szCs w:val="13"/>
                <w:color w:val="auto"/>
              </w:rPr>
              <w:t>United States</w:t>
            </w: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48195" cy="1509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09395"/>
                    </a:xfrm>
                    <a:prstGeom prst="rect">
                      <a:avLst/>
                    </a:prstGeom>
                    <a:noFill/>
                  </pic:spPr>
                </pic:pic>
              </a:graphicData>
            </a:graphic>
          </wp:anchor>
        </w:drawing>
      </w:r>
    </w:p>
    <w:p>
      <w:pPr>
        <w:ind w:left="20"/>
        <w:spacing w:after="0" w:line="236" w:lineRule="auto"/>
        <w:rPr>
          <w:sz w:val="20"/>
          <w:szCs w:val="20"/>
          <w:color w:val="auto"/>
        </w:rPr>
      </w:pPr>
      <w:r>
        <w:rPr>
          <w:rFonts w:ascii="Arial" w:cs="Arial" w:eastAsia="Arial" w:hAnsi="Arial"/>
          <w:sz w:val="12"/>
          <w:szCs w:val="12"/>
          <w:color w:val="auto"/>
        </w:rPr>
        <w:t>* majority of which is held directly</w:t>
      </w:r>
    </w:p>
    <w:p>
      <w:pPr>
        <w:ind w:left="160" w:hanging="141"/>
        <w:spacing w:after="0" w:line="203" w:lineRule="auto"/>
        <w:tabs>
          <w:tab w:leader="none" w:pos="1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Mapi Research Trust is an association, its members are ICON Subsidiary entities.</w:t>
      </w:r>
    </w:p>
    <w:p>
      <w:pPr>
        <w:ind w:left="200" w:hanging="181"/>
        <w:spacing w:after="0" w:line="202" w:lineRule="auto"/>
        <w:tabs>
          <w:tab w:leader="none" w:pos="20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MeDiNova Merc Clinical Research (SA) Pty Limited, changed its name to Accellacare South Africa (PTY) LTD with effect from 9 March 2021</w:t>
      </w:r>
    </w:p>
    <w:p>
      <w:pPr>
        <w:ind w:left="20"/>
        <w:spacing w:after="0" w:line="202" w:lineRule="auto"/>
        <w:rPr>
          <w:rFonts w:ascii="Arial" w:cs="Arial" w:eastAsia="Arial" w:hAnsi="Arial"/>
          <w:sz w:val="12"/>
          <w:szCs w:val="12"/>
          <w:color w:val="auto"/>
        </w:rPr>
      </w:pPr>
      <w:r>
        <w:rPr>
          <w:rFonts w:ascii="Arial" w:cs="Arial" w:eastAsia="Arial" w:hAnsi="Arial"/>
          <w:sz w:val="12"/>
          <w:szCs w:val="12"/>
          <w:color w:val="auto"/>
        </w:rPr>
        <w:t>****MeDiNova Investigación y Desarrollo S.L., changed its name to Accellacare España S.L. with effect from 23 February 2021</w:t>
      </w:r>
    </w:p>
    <w:p>
      <w:pPr>
        <w:ind w:left="300" w:hanging="281"/>
        <w:spacing w:after="0" w:line="202" w:lineRule="auto"/>
        <w:tabs>
          <w:tab w:leader="none" w:pos="30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Mapi Life Sciences UK Limited, changed its name to ICON Clinical Research (U.K.) No. 2 Limited with effect from 19 April 2021</w:t>
      </w:r>
    </w:p>
    <w:p>
      <w:pPr>
        <w:ind w:left="20"/>
        <w:spacing w:after="0" w:line="203" w:lineRule="auto"/>
        <w:rPr>
          <w:sz w:val="20"/>
          <w:szCs w:val="20"/>
          <w:color w:val="auto"/>
        </w:rPr>
      </w:pPr>
      <w:r>
        <w:rPr>
          <w:rFonts w:ascii="Arial" w:cs="Arial" w:eastAsia="Arial" w:hAnsi="Arial"/>
          <w:sz w:val="12"/>
          <w:szCs w:val="12"/>
          <w:color w:val="auto"/>
        </w:rPr>
        <w:t>****** MeDiNova Limited, changed its name to Accellacare UK Limited with effect from 26 February 2021</w:t>
      </w:r>
    </w:p>
    <w:p>
      <w:pPr>
        <w:ind w:left="20"/>
        <w:spacing w:after="0" w:line="203" w:lineRule="auto"/>
        <w:rPr>
          <w:sz w:val="20"/>
          <w:szCs w:val="20"/>
          <w:color w:val="auto"/>
        </w:rPr>
      </w:pPr>
      <w:r>
        <w:rPr>
          <w:rFonts w:ascii="Arial" w:cs="Arial" w:eastAsia="Arial" w:hAnsi="Arial"/>
          <w:sz w:val="12"/>
          <w:szCs w:val="12"/>
          <w:color w:val="auto"/>
        </w:rPr>
        <w:t>******* MedPass Group Limited, changed its name to ICON Clinical Research (U.K.) No. 6 Limited with effect from 19 April 2021</w:t>
      </w:r>
    </w:p>
    <w:p>
      <w:pPr>
        <w:ind w:left="20"/>
        <w:spacing w:after="0" w:line="203" w:lineRule="auto"/>
        <w:rPr>
          <w:sz w:val="20"/>
          <w:szCs w:val="20"/>
          <w:color w:val="auto"/>
        </w:rPr>
      </w:pPr>
      <w:r>
        <w:rPr>
          <w:rFonts w:ascii="Arial" w:cs="Arial" w:eastAsia="Arial" w:hAnsi="Arial"/>
          <w:sz w:val="12"/>
          <w:szCs w:val="12"/>
          <w:color w:val="auto"/>
        </w:rPr>
        <w:t>******** MedPass International Limited, changed its name to ICON Clinical Research (U.K.) No. 4 Limited with effect from 19 April 2021</w:t>
      </w:r>
    </w:p>
    <w:p>
      <w:pPr>
        <w:ind w:left="20"/>
        <w:spacing w:after="0" w:line="203" w:lineRule="auto"/>
        <w:rPr>
          <w:sz w:val="20"/>
          <w:szCs w:val="20"/>
          <w:color w:val="auto"/>
        </w:rPr>
      </w:pPr>
      <w:r>
        <w:rPr>
          <w:rFonts w:ascii="Arial" w:cs="Arial" w:eastAsia="Arial" w:hAnsi="Arial"/>
          <w:sz w:val="12"/>
          <w:szCs w:val="12"/>
          <w:color w:val="auto"/>
        </w:rPr>
        <w:t>********* Medpass Limited , changed its name to ICON Clinical Research (U.K.) No. 5 Limited with effect from 19 April 2021</w:t>
      </w:r>
    </w:p>
    <w:p>
      <w:pPr>
        <w:ind w:left="20"/>
        <w:spacing w:after="0" w:line="203" w:lineRule="auto"/>
        <w:rPr>
          <w:sz w:val="20"/>
          <w:szCs w:val="20"/>
          <w:color w:val="auto"/>
        </w:rPr>
      </w:pPr>
      <w:r>
        <w:rPr>
          <w:rFonts w:ascii="Arial" w:cs="Arial" w:eastAsia="Arial" w:hAnsi="Arial"/>
          <w:sz w:val="12"/>
          <w:szCs w:val="12"/>
          <w:color w:val="auto"/>
        </w:rPr>
        <w:t>********** PMG Research, Inc., changed its name to Accellacare US Inc. with effect from 10 March 2021</w:t>
      </w:r>
    </w:p>
    <w:p>
      <w:pPr>
        <w:ind w:left="20"/>
        <w:spacing w:after="0" w:line="203" w:lineRule="auto"/>
        <w:rPr>
          <w:sz w:val="20"/>
          <w:szCs w:val="20"/>
          <w:color w:val="auto"/>
        </w:rPr>
      </w:pPr>
      <w:r>
        <w:rPr>
          <w:rFonts w:ascii="Arial" w:cs="Arial" w:eastAsia="Arial" w:hAnsi="Arial"/>
          <w:sz w:val="12"/>
          <w:szCs w:val="12"/>
          <w:color w:val="auto"/>
        </w:rPr>
        <w:t>*********** PMG Research of Bristol, LLC, changed its name to Accellacare of Bristol, LLC with effect from 23 March 2021</w:t>
      </w:r>
    </w:p>
    <w:p>
      <w:pPr>
        <w:ind w:left="20"/>
        <w:spacing w:after="0" w:line="203" w:lineRule="auto"/>
        <w:rPr>
          <w:sz w:val="20"/>
          <w:szCs w:val="20"/>
          <w:color w:val="auto"/>
        </w:rPr>
      </w:pPr>
      <w:r>
        <w:rPr>
          <w:rFonts w:ascii="Arial" w:cs="Arial" w:eastAsia="Arial" w:hAnsi="Arial"/>
          <w:sz w:val="12"/>
          <w:szCs w:val="12"/>
          <w:color w:val="auto"/>
        </w:rPr>
        <w:t>************ PMG Research of Charleston, LLC, changed its name to Accellacare of Charleston, LLC with effect from 23 March 2021</w:t>
      </w:r>
    </w:p>
    <w:p>
      <w:pPr>
        <w:ind w:left="20"/>
        <w:spacing w:after="0" w:line="203" w:lineRule="auto"/>
        <w:rPr>
          <w:sz w:val="20"/>
          <w:szCs w:val="20"/>
          <w:color w:val="auto"/>
        </w:rPr>
      </w:pPr>
      <w:r>
        <w:rPr>
          <w:rFonts w:ascii="Arial" w:cs="Arial" w:eastAsia="Arial" w:hAnsi="Arial"/>
          <w:sz w:val="12"/>
          <w:szCs w:val="12"/>
          <w:color w:val="auto"/>
        </w:rPr>
        <w:t>************* PMG Research of Charlotte, LLC, changed its name to Accellacare of Charlotte, LLC with effect from 6 April 2021</w:t>
      </w:r>
    </w:p>
    <w:p>
      <w:pPr>
        <w:ind w:left="20"/>
        <w:spacing w:after="0" w:line="203" w:lineRule="auto"/>
        <w:rPr>
          <w:sz w:val="20"/>
          <w:szCs w:val="20"/>
          <w:color w:val="auto"/>
        </w:rPr>
      </w:pPr>
      <w:r>
        <w:rPr>
          <w:rFonts w:ascii="Arial" w:cs="Arial" w:eastAsia="Arial" w:hAnsi="Arial"/>
          <w:sz w:val="12"/>
          <w:szCs w:val="12"/>
          <w:color w:val="auto"/>
        </w:rPr>
        <w:t>************** PMG Research of Christie Clinic, LLC, changed its name to Accellacare of Christie Clinic, LLC with effect from 23 March 2021</w:t>
      </w:r>
    </w:p>
    <w:p>
      <w:pPr>
        <w:ind w:left="20"/>
        <w:spacing w:after="0" w:line="203" w:lineRule="auto"/>
        <w:rPr>
          <w:sz w:val="20"/>
          <w:szCs w:val="20"/>
          <w:color w:val="auto"/>
        </w:rPr>
      </w:pPr>
      <w:r>
        <w:rPr>
          <w:rFonts w:ascii="Arial" w:cs="Arial" w:eastAsia="Arial" w:hAnsi="Arial"/>
          <w:sz w:val="12"/>
          <w:szCs w:val="12"/>
          <w:color w:val="auto"/>
        </w:rPr>
        <w:t>*************** PMG Research of Hickory, LLC, changed its name to Accellacare of Hickory, LLC with effect from 6 April 2021</w:t>
      </w:r>
    </w:p>
    <w:p>
      <w:pPr>
        <w:ind w:left="20"/>
        <w:spacing w:after="0" w:line="203" w:lineRule="auto"/>
        <w:rPr>
          <w:sz w:val="20"/>
          <w:szCs w:val="20"/>
          <w:color w:val="auto"/>
        </w:rPr>
      </w:pPr>
      <w:r>
        <w:rPr>
          <w:rFonts w:ascii="Arial" w:cs="Arial" w:eastAsia="Arial" w:hAnsi="Arial"/>
          <w:sz w:val="12"/>
          <w:szCs w:val="12"/>
          <w:color w:val="auto"/>
        </w:rPr>
        <w:t>**************** PMG Research of Raleigh, LLC, changed its name to Accellacare of Raleigh, LLC with effect from 6 April 2021</w:t>
      </w:r>
    </w:p>
    <w:p>
      <w:pPr>
        <w:ind w:left="20"/>
        <w:spacing w:after="0" w:line="203" w:lineRule="auto"/>
        <w:rPr>
          <w:sz w:val="20"/>
          <w:szCs w:val="20"/>
          <w:color w:val="auto"/>
        </w:rPr>
      </w:pPr>
      <w:r>
        <w:rPr>
          <w:rFonts w:ascii="Arial" w:cs="Arial" w:eastAsia="Arial" w:hAnsi="Arial"/>
          <w:sz w:val="12"/>
          <w:szCs w:val="12"/>
          <w:color w:val="auto"/>
        </w:rPr>
        <w:t>***************** PMG Research of Rocky Mount, LLC, changed its name to Accellacare of Rocky Mount, LLC with effect from 6 April 2021</w:t>
      </w:r>
    </w:p>
    <w:p>
      <w:pPr>
        <w:ind w:left="20"/>
        <w:spacing w:after="0" w:line="203" w:lineRule="auto"/>
        <w:rPr>
          <w:sz w:val="20"/>
          <w:szCs w:val="20"/>
          <w:color w:val="auto"/>
        </w:rPr>
      </w:pPr>
      <w:r>
        <w:rPr>
          <w:rFonts w:ascii="Arial" w:cs="Arial" w:eastAsia="Arial" w:hAnsi="Arial"/>
          <w:sz w:val="12"/>
          <w:szCs w:val="12"/>
          <w:color w:val="auto"/>
        </w:rPr>
        <w:t>****************** PMG Research of Salisbury, LLC, changed its name to Accellacare of Salisbury, LLC with effect from 6 April 2021</w:t>
      </w:r>
    </w:p>
    <w:p>
      <w:pPr>
        <w:ind w:left="20"/>
        <w:spacing w:after="0" w:line="203" w:lineRule="auto"/>
        <w:rPr>
          <w:sz w:val="20"/>
          <w:szCs w:val="20"/>
          <w:color w:val="auto"/>
        </w:rPr>
      </w:pPr>
      <w:r>
        <w:rPr>
          <w:rFonts w:ascii="Arial" w:cs="Arial" w:eastAsia="Arial" w:hAnsi="Arial"/>
          <w:sz w:val="12"/>
          <w:szCs w:val="12"/>
          <w:color w:val="auto"/>
        </w:rPr>
        <w:t>******************* PMG Research of Wilmington, LLC, changed its name to Accellacare of Wilmington, LLC with effect from 6 April 2021</w:t>
      </w:r>
    </w:p>
    <w:p>
      <w:pPr>
        <w:ind w:left="20"/>
        <w:spacing w:after="0"/>
        <w:rPr>
          <w:sz w:val="20"/>
          <w:szCs w:val="20"/>
          <w:color w:val="auto"/>
        </w:rPr>
      </w:pPr>
      <w:r>
        <w:rPr>
          <w:rFonts w:ascii="Arial" w:cs="Arial" w:eastAsia="Arial" w:hAnsi="Arial"/>
          <w:sz w:val="12"/>
          <w:szCs w:val="12"/>
          <w:color w:val="auto"/>
        </w:rPr>
        <w:t>******************** PMG Research of Winston-Salem, LLC, changed its name to Accellacare of Winston-Salem, LLC with effect from 6 April 2021</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60"/>
          </w:cols>
          <w:pgMar w:left="300" w:top="695"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33.</w:t>
      </w:r>
      <w:r>
        <w:rPr>
          <w:sz w:val="20"/>
          <w:szCs w:val="20"/>
          <w:color w:val="auto"/>
        </w:rPr>
        <w:tab/>
      </w:r>
      <w:r>
        <w:rPr>
          <w:rFonts w:ascii="Arial" w:cs="Arial" w:eastAsia="Arial" w:hAnsi="Arial"/>
          <w:sz w:val="12"/>
          <w:szCs w:val="12"/>
          <w:b w:val="1"/>
          <w:bCs w:val="1"/>
          <w:color w:val="auto"/>
        </w:rPr>
        <w:t>Disaggregation of Revenue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auto"/>
        </w:rPr>
        <w:t>Revenue disaggregated by customer profile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shd w:val="clear" w:color="auto" w:fill="CCEEFF"/>
          </w:tcPr>
          <w:p>
            <w:pPr>
              <w:spacing w:after="0"/>
              <w:rPr>
                <w:sz w:val="13"/>
                <w:szCs w:val="13"/>
                <w:color w:val="auto"/>
              </w:rPr>
            </w:pPr>
          </w:p>
        </w:tc>
        <w:tc>
          <w:tcPr>
            <w:tcW w:w="64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69"/>
        </w:trPr>
        <w:tc>
          <w:tcPr>
            <w:tcW w:w="4800" w:type="dxa"/>
            <w:vAlign w:val="bottom"/>
            <w:tcBorders>
              <w:bottom w:val="single" w:sz="8" w:color="auto"/>
            </w:tcBorders>
            <w:shd w:val="clear" w:color="auto" w:fill="CCEEFF"/>
          </w:tcPr>
          <w:p>
            <w:pPr>
              <w:spacing w:after="0"/>
              <w:rPr>
                <w:sz w:val="14"/>
                <w:szCs w:val="14"/>
                <w:color w:val="auto"/>
              </w:rPr>
            </w:pPr>
          </w:p>
        </w:tc>
        <w:tc>
          <w:tcPr>
            <w:tcW w:w="54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4800" w:type="dxa"/>
            <w:vAlign w:val="bottom"/>
          </w:tcPr>
          <w:p>
            <w:pPr>
              <w:spacing w:after="0"/>
              <w:rPr>
                <w:sz w:val="13"/>
                <w:szCs w:val="13"/>
                <w:color w:val="auto"/>
              </w:rPr>
            </w:pPr>
          </w:p>
        </w:tc>
        <w:tc>
          <w:tcPr>
            <w:tcW w:w="542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48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69"/>
        </w:trPr>
        <w:tc>
          <w:tcPr>
            <w:tcW w:w="4800" w:type="dxa"/>
            <w:vAlign w:val="bottom"/>
          </w:tcPr>
          <w:p>
            <w:pPr>
              <w:ind w:left="20"/>
              <w:spacing w:after="0"/>
              <w:rPr>
                <w:sz w:val="20"/>
                <w:szCs w:val="20"/>
                <w:color w:val="auto"/>
              </w:rPr>
            </w:pPr>
            <w:r>
              <w:rPr>
                <w:rFonts w:ascii="Arial" w:cs="Arial" w:eastAsia="Arial" w:hAnsi="Arial"/>
                <w:sz w:val="13"/>
                <w:szCs w:val="13"/>
                <w:color w:val="auto"/>
              </w:rPr>
              <w:t>Top client</w:t>
            </w:r>
          </w:p>
        </w:tc>
        <w:tc>
          <w:tcPr>
            <w:tcW w:w="5420" w:type="dxa"/>
            <w:vAlign w:val="bottom"/>
          </w:tcPr>
          <w:p>
            <w:pPr>
              <w:jc w:val="right"/>
              <w:ind w:right="416"/>
              <w:spacing w:after="0"/>
              <w:rPr>
                <w:sz w:val="20"/>
                <w:szCs w:val="20"/>
                <w:color w:val="auto"/>
              </w:rPr>
            </w:pPr>
            <w:r>
              <w:rPr>
                <w:rFonts w:ascii="Arial" w:cs="Arial" w:eastAsia="Arial" w:hAnsi="Arial"/>
                <w:sz w:val="13"/>
                <w:szCs w:val="13"/>
                <w:b w:val="1"/>
                <w:bCs w:val="1"/>
                <w:color w:val="auto"/>
              </w:rPr>
              <w:t>337,904</w:t>
            </w:r>
          </w:p>
        </w:tc>
        <w:tc>
          <w:tcPr>
            <w:tcW w:w="1060" w:type="dxa"/>
            <w:vAlign w:val="bottom"/>
          </w:tcPr>
          <w:p>
            <w:pPr>
              <w:jc w:val="right"/>
              <w:spacing w:after="0"/>
              <w:rPr>
                <w:sz w:val="20"/>
                <w:szCs w:val="20"/>
                <w:color w:val="auto"/>
              </w:rPr>
            </w:pPr>
            <w:r>
              <w:rPr>
                <w:rFonts w:ascii="Arial" w:cs="Arial" w:eastAsia="Arial" w:hAnsi="Arial"/>
                <w:sz w:val="13"/>
                <w:szCs w:val="13"/>
                <w:color w:val="auto"/>
              </w:rPr>
              <w:t>350,287</w:t>
            </w:r>
          </w:p>
        </w:tc>
      </w:tr>
      <w:tr>
        <w:trPr>
          <w:trHeight w:val="170"/>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2-5</w:t>
            </w:r>
          </w:p>
        </w:tc>
        <w:tc>
          <w:tcPr>
            <w:tcW w:w="54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754,906</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704,963</w:t>
            </w:r>
          </w:p>
        </w:tc>
      </w:tr>
      <w:tr>
        <w:trPr>
          <w:trHeight w:val="169"/>
        </w:trPr>
        <w:tc>
          <w:tcPr>
            <w:tcW w:w="4800" w:type="dxa"/>
            <w:vAlign w:val="bottom"/>
          </w:tcPr>
          <w:p>
            <w:pPr>
              <w:ind w:left="20"/>
              <w:spacing w:after="0"/>
              <w:rPr>
                <w:sz w:val="20"/>
                <w:szCs w:val="20"/>
                <w:color w:val="auto"/>
              </w:rPr>
            </w:pPr>
            <w:r>
              <w:rPr>
                <w:rFonts w:ascii="Arial" w:cs="Arial" w:eastAsia="Arial" w:hAnsi="Arial"/>
                <w:sz w:val="13"/>
                <w:szCs w:val="13"/>
                <w:color w:val="auto"/>
              </w:rPr>
              <w:t>Clients 6-10</w:t>
            </w:r>
          </w:p>
        </w:tc>
        <w:tc>
          <w:tcPr>
            <w:tcW w:w="5420" w:type="dxa"/>
            <w:vAlign w:val="bottom"/>
          </w:tcPr>
          <w:p>
            <w:pPr>
              <w:jc w:val="right"/>
              <w:ind w:right="416"/>
              <w:spacing w:after="0"/>
              <w:rPr>
                <w:sz w:val="20"/>
                <w:szCs w:val="20"/>
                <w:color w:val="auto"/>
              </w:rPr>
            </w:pPr>
            <w:r>
              <w:rPr>
                <w:rFonts w:ascii="Arial" w:cs="Arial" w:eastAsia="Arial" w:hAnsi="Arial"/>
                <w:sz w:val="13"/>
                <w:szCs w:val="13"/>
                <w:b w:val="1"/>
                <w:bCs w:val="1"/>
                <w:color w:val="auto"/>
              </w:rPr>
              <w:t>350,865</w:t>
            </w:r>
          </w:p>
        </w:tc>
        <w:tc>
          <w:tcPr>
            <w:tcW w:w="1060" w:type="dxa"/>
            <w:vAlign w:val="bottom"/>
          </w:tcPr>
          <w:p>
            <w:pPr>
              <w:jc w:val="right"/>
              <w:spacing w:after="0"/>
              <w:rPr>
                <w:sz w:val="20"/>
                <w:szCs w:val="20"/>
                <w:color w:val="auto"/>
              </w:rPr>
            </w:pPr>
            <w:r>
              <w:rPr>
                <w:rFonts w:ascii="Arial" w:cs="Arial" w:eastAsia="Arial" w:hAnsi="Arial"/>
                <w:sz w:val="13"/>
                <w:szCs w:val="13"/>
                <w:color w:val="auto"/>
              </w:rPr>
              <w:t>347,832</w:t>
            </w:r>
          </w:p>
        </w:tc>
      </w:tr>
      <w:tr>
        <w:trPr>
          <w:trHeight w:val="170"/>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11-25</w:t>
            </w:r>
          </w:p>
        </w:tc>
        <w:tc>
          <w:tcPr>
            <w:tcW w:w="54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501,643</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529,713</w:t>
            </w:r>
          </w:p>
        </w:tc>
      </w:tr>
      <w:tr>
        <w:trPr>
          <w:trHeight w:val="16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54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851,970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873,044</w:t>
            </w:r>
          </w:p>
        </w:tc>
      </w:tr>
      <w:tr>
        <w:trPr>
          <w:trHeight w:val="162"/>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54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2,797,288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2,805,839</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Our customers have similar profiles and economic characteristics, and therefore have similar degrees of risk and growth opportunities.</w:t>
      </w: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34. Impact of change in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Adoption of IFRS 16 (adopted in prior year ended 31 December 2019)</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IFRS 16 superseded IAS 17 and required that lessees recognise rights and obligations from virtually all leases (other than leases that meet the definition of a short-term lease) on their Statements of Financial Position as right-of-use assets with corresponding lease liabilities.</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3"/>
          <w:szCs w:val="13"/>
          <w:color w:val="auto"/>
        </w:rPr>
        <w:t>ICON adopted IFRS 16 as of 1 January 2019 under the cumulative effect adjustment approach. Under this transition method, IFRS 16 was applied from 1 January 2019 without restatement of comparative period amounts. Pursuant to certain practical expedients available as part of adopting IFRS 16, ICON did not reassess whether existing or expired contracts are or contain leases or whether unamortised initial direct costs meet the new definition of initial direct costs under IFRS 16. Additionally, ICON elected to use hindsight in determining the lease term and in assessing impairment of ROU assets, if any.</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on lessee accounting</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(i) Former operating leases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IFRS 16 changed how the Group accounted for leases previously classified as operating leases under IAS 17, which were off balance sheet.</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Applying IFRS 16, for all leases (except as noted below), the Group:</w:t>
      </w:r>
    </w:p>
    <w:p>
      <w:pPr>
        <w:spacing w:after="0" w:line="137" w:lineRule="exact"/>
        <w:rPr>
          <w:sz w:val="20"/>
          <w:szCs w:val="20"/>
          <w:color w:val="auto"/>
        </w:rPr>
      </w:pPr>
    </w:p>
    <w:p>
      <w:pPr>
        <w:ind w:left="520" w:hanging="260"/>
        <w:spacing w:after="0"/>
        <w:tabs>
          <w:tab w:leader="none" w:pos="5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Recognised right-of-use assets and lease liabilities in the Consolidated Statement of Financial Position, initially measured at the present value of the future lease payments;</w:t>
      </w:r>
    </w:p>
    <w:p>
      <w:pPr>
        <w:spacing w:after="0" w:line="147" w:lineRule="exact"/>
        <w:rPr>
          <w:rFonts w:ascii="Arial" w:cs="Arial" w:eastAsia="Arial" w:hAnsi="Arial"/>
          <w:sz w:val="13"/>
          <w:szCs w:val="13"/>
          <w:color w:val="auto"/>
        </w:rPr>
      </w:pPr>
    </w:p>
    <w:p>
      <w:pPr>
        <w:ind w:left="520" w:hanging="260"/>
        <w:spacing w:after="0"/>
        <w:tabs>
          <w:tab w:leader="none" w:pos="5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Recognised depreciation of right-of-use assets and interest on lease liabilities in the Consolidated Statement of Profit or Loss;</w:t>
      </w:r>
    </w:p>
    <w:p>
      <w:pPr>
        <w:spacing w:after="0" w:line="136" w:lineRule="exact"/>
        <w:rPr>
          <w:rFonts w:ascii="Arial" w:cs="Arial" w:eastAsia="Arial" w:hAnsi="Arial"/>
          <w:sz w:val="13"/>
          <w:szCs w:val="13"/>
          <w:color w:val="auto"/>
        </w:rPr>
      </w:pPr>
    </w:p>
    <w:p>
      <w:pPr>
        <w:ind w:left="520" w:hanging="260"/>
        <w:spacing w:after="0" w:line="244" w:lineRule="auto"/>
        <w:tabs>
          <w:tab w:leader="none" w:pos="513" w:val="left"/>
        </w:tabs>
        <w:numPr>
          <w:ilvl w:val="0"/>
          <w:numId w:val="137"/>
        </w:numPr>
        <w:rPr>
          <w:rFonts w:ascii="Arial" w:cs="Arial" w:eastAsia="Arial" w:hAnsi="Arial"/>
          <w:sz w:val="13"/>
          <w:szCs w:val="13"/>
          <w:color w:val="auto"/>
        </w:rPr>
      </w:pPr>
      <w:r>
        <w:rPr>
          <w:rFonts w:ascii="Arial" w:cs="Arial" w:eastAsia="Arial" w:hAnsi="Arial"/>
          <w:sz w:val="13"/>
          <w:szCs w:val="13"/>
          <w:color w:val="auto"/>
        </w:rPr>
        <w:t>Separated the total amount of cash paid into a principal portion (presented within financing activities) and interest (presented within financing activities) in the Consolidated Statement of Cash Flows.</w:t>
      </w:r>
    </w:p>
    <w:p>
      <w:pPr>
        <w:spacing w:after="0" w:line="13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Lease incentives (e.g. rent-free period) were recognised as part of the measurement of the right-of-use assets and lease liabilities whereas under IAS 17 they resulted in the recognition of a lease incentive, amortised as a reduction of rental expenses generally on a straight-line basis.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80"/>
          </w:cols>
          <w:pgMar w:left="300" w:top="696" w:right="3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34. Impact of change in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Under IFRS 16, right-of-use assets are tested for impairment in accordance with IAS 36.</w:t>
      </w:r>
    </w:p>
    <w:p>
      <w:pPr>
        <w:spacing w:after="0" w:line="190" w:lineRule="exact"/>
        <w:rPr>
          <w:sz w:val="20"/>
          <w:szCs w:val="20"/>
          <w:color w:val="auto"/>
        </w:rPr>
      </w:pPr>
    </w:p>
    <w:p>
      <w:pPr>
        <w:ind w:right="300"/>
        <w:spacing w:after="0" w:line="244" w:lineRule="auto"/>
        <w:rPr>
          <w:sz w:val="20"/>
          <w:szCs w:val="20"/>
          <w:color w:val="auto"/>
        </w:rPr>
      </w:pPr>
      <w:r>
        <w:rPr>
          <w:rFonts w:ascii="Arial" w:cs="Arial" w:eastAsia="Arial" w:hAnsi="Arial"/>
          <w:sz w:val="13"/>
          <w:szCs w:val="13"/>
          <w:color w:val="auto"/>
        </w:rPr>
        <w:t>For short-term leases (lease term of 12 months or less) the Group has opted to recognise a lease expense on a straight-line basis as permitted by IFRS 16. This expense is presented within ‘other operating expenses’ in the Consolidated Statement of Profit or Loss.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(ii) Former finance leases</w:t>
      </w:r>
    </w:p>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main differences between IFRS 16 and IAS 17 with respect to contracts formerly classified as finance leases was the measurement of the residual value guarantees provided by the lessee to the lessor. IFRS 16 required that the Group recognised as part of its lease liability only the amount expected to be payable under a residual value guarantee, rather than the maximum amount guaranteed as required by IAS 17. This change did not have a material effect on the Group’s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on lessor accounting</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IFRS 16 did not change substantially how a lessor accounts for leases. Under IFRS 16, a lessor continues to classify leases as either finance leases or operating leases and account for those two types of leases differently.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Under IFRS 16, an intermediate lessor accounts for the head lease and the sub-lease as two separate contracts. The intermediate lessor is required to classify the sub-lease as a finance or operating lease by reference to the right-of-use asset arising from the head lease (and not by reference to the underlying asset as was the case under IAS 17).</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to the Group</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Lease liabilities and right-of-use assets have been recorded on the Consolidated Statements of Financial Position as at 1 January 2019 of $106.5 million. There was no impact of adopting IFRS 16 on opening retained earnings at 1 January 2019.</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When measuring lease liabilities, the Group discounted lease payments using its incremental borrowing rate at 1 January 2019. The weighted-average rate applied was 3.12%.</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following table shows the operating lease commitments disclosed applying IAS 17 at 31 December 2018, discounted using the incremental borrowing rate at the date of initial application and the lease liabilities recognised in the Statement of Financial Position at the date of initial application.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80" w:type="dxa"/>
            <w:vAlign w:val="bottom"/>
            <w:tcBorders>
              <w:bottom w:val="single" w:sz="8" w:color="auto"/>
            </w:tcBorders>
            <w:shd w:val="clear" w:color="auto" w:fill="CCEEFF"/>
          </w:tcPr>
          <w:p>
            <w:pPr>
              <w:spacing w:after="0"/>
              <w:rPr>
                <w:sz w:val="14"/>
                <w:szCs w:val="14"/>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 January 2019</w:t>
            </w:r>
          </w:p>
        </w:tc>
      </w:tr>
      <w:tr>
        <w:trPr>
          <w:trHeight w:val="160"/>
        </w:trPr>
        <w:tc>
          <w:tcPr>
            <w:tcW w:w="8380" w:type="dxa"/>
            <w:vAlign w:val="bottom"/>
          </w:tcPr>
          <w:p>
            <w:pPr>
              <w:spacing w:after="0"/>
              <w:rPr>
                <w:sz w:val="13"/>
                <w:szCs w:val="13"/>
                <w:color w:val="auto"/>
              </w:rPr>
            </w:pPr>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commitment at 31 December 2018 as disclosed in the Group's Consolidated Financial Statements</w:t>
            </w:r>
          </w:p>
        </w:tc>
        <w:tc>
          <w:tcPr>
            <w:tcW w:w="2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126,583</w:t>
            </w:r>
          </w:p>
        </w:tc>
      </w:tr>
      <w:tr>
        <w:trPr>
          <w:trHeight w:val="168"/>
        </w:trPr>
        <w:tc>
          <w:tcPr>
            <w:tcW w:w="8380" w:type="dxa"/>
            <w:vAlign w:val="bottom"/>
          </w:tcPr>
          <w:p>
            <w:pPr>
              <w:ind w:left="20"/>
              <w:spacing w:after="0"/>
              <w:rPr>
                <w:sz w:val="20"/>
                <w:szCs w:val="20"/>
                <w:color w:val="auto"/>
              </w:rPr>
            </w:pPr>
            <w:r>
              <w:rPr>
                <w:rFonts w:ascii="Arial" w:cs="Arial" w:eastAsia="Arial" w:hAnsi="Arial"/>
                <w:sz w:val="13"/>
                <w:szCs w:val="13"/>
                <w:color w:val="auto"/>
              </w:rPr>
              <w:t>Discounting using the incremental borrowing rate at 1 January 2019</w:t>
            </w:r>
          </w:p>
        </w:tc>
        <w:tc>
          <w:tcPr>
            <w:tcW w:w="2820" w:type="dxa"/>
            <w:vAlign w:val="bottom"/>
          </w:tcPr>
          <w:p>
            <w:pPr>
              <w:jc w:val="right"/>
              <w:spacing w:after="0"/>
              <w:rPr>
                <w:sz w:val="20"/>
                <w:szCs w:val="20"/>
                <w:color w:val="auto"/>
              </w:rPr>
            </w:pPr>
            <w:r>
              <w:rPr>
                <w:rFonts w:ascii="Arial" w:cs="Arial" w:eastAsia="Arial" w:hAnsi="Arial"/>
                <w:sz w:val="13"/>
                <w:szCs w:val="13"/>
                <w:color w:val="auto"/>
              </w:rPr>
              <w:t>(9,963)</w:t>
            </w: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Subleases excluded from operating lease commitment</w:t>
            </w:r>
          </w:p>
        </w:tc>
        <w:tc>
          <w:tcPr>
            <w:tcW w:w="2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(6,139)</w:t>
            </w:r>
          </w:p>
        </w:tc>
      </w:tr>
      <w:tr>
        <w:trPr>
          <w:trHeight w:val="168"/>
        </w:trPr>
        <w:tc>
          <w:tcPr>
            <w:tcW w:w="8380" w:type="dxa"/>
            <w:vAlign w:val="bottom"/>
          </w:tcPr>
          <w:p>
            <w:pPr>
              <w:ind w:left="20"/>
              <w:spacing w:after="0"/>
              <w:rPr>
                <w:sz w:val="20"/>
                <w:szCs w:val="20"/>
                <w:color w:val="auto"/>
              </w:rPr>
            </w:pPr>
            <w:r>
              <w:rPr>
                <w:rFonts w:ascii="Arial" w:cs="Arial" w:eastAsia="Arial" w:hAnsi="Arial"/>
                <w:sz w:val="13"/>
                <w:szCs w:val="13"/>
                <w:color w:val="auto"/>
              </w:rPr>
              <w:t>Lease liabilities related to future commitments</w:t>
            </w:r>
          </w:p>
        </w:tc>
        <w:tc>
          <w:tcPr>
            <w:tcW w:w="2820" w:type="dxa"/>
            <w:vAlign w:val="bottom"/>
          </w:tcPr>
          <w:p>
            <w:pPr>
              <w:jc w:val="right"/>
              <w:spacing w:after="0"/>
              <w:rPr>
                <w:sz w:val="20"/>
                <w:szCs w:val="20"/>
                <w:color w:val="auto"/>
              </w:rPr>
            </w:pPr>
            <w:r>
              <w:rPr>
                <w:rFonts w:ascii="Arial" w:cs="Arial" w:eastAsia="Arial" w:hAnsi="Arial"/>
                <w:sz w:val="13"/>
                <w:szCs w:val="13"/>
                <w:color w:val="auto"/>
              </w:rPr>
              <w:t>(1,322)</w:t>
            </w: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not included in discounted liability under IFRS 16 (1)</w:t>
            </w:r>
          </w:p>
        </w:tc>
        <w:tc>
          <w:tcPr>
            <w:tcW w:w="2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w:t>
            </w:r>
          </w:p>
        </w:tc>
      </w:tr>
      <w:tr>
        <w:trPr>
          <w:trHeight w:val="168"/>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(1,598)</w:t>
            </w:r>
          </w:p>
        </w:tc>
      </w:tr>
      <w:tr>
        <w:trPr>
          <w:trHeight w:val="164"/>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Lease liabilities recognised at 1 January 2019</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106,539</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(1) non lease components</w:t>
      </w:r>
    </w:p>
    <w:p>
      <w:pPr>
        <w:spacing w:after="0" w:line="365" w:lineRule="exact"/>
        <w:rPr>
          <w:sz w:val="20"/>
          <w:szCs w:val="20"/>
          <w:color w:val="auto"/>
        </w:rPr>
      </w:pPr>
    </w:p>
    <w:p>
      <w:pPr>
        <w:ind w:left="320" w:hanging="315"/>
        <w:spacing w:after="0"/>
        <w:tabs>
          <w:tab w:leader="none" w:pos="320"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Board of Directors approved these financial statements on 27 April 2021.</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80"/>
          </w:cols>
          <w:pgMar w:left="300" w:top="696" w:right="31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Company Statement of Financial Position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Borders>
              <w:bottom w:val="single" w:sz="8" w:color="auto"/>
            </w:tcBorders>
            <w:shd w:val="clear" w:color="auto" w:fill="CCEEFF"/>
          </w:tcPr>
          <w:p>
            <w:pPr>
              <w:spacing w:after="0"/>
              <w:rPr>
                <w:sz w:val="14"/>
                <w:szCs w:val="14"/>
                <w:color w:val="auto"/>
              </w:rPr>
            </w:pPr>
          </w:p>
        </w:tc>
        <w:tc>
          <w:tcPr>
            <w:tcW w:w="55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2019</w:t>
            </w:r>
          </w:p>
        </w:tc>
      </w:tr>
      <w:tr>
        <w:trPr>
          <w:trHeight w:val="160"/>
        </w:trPr>
        <w:tc>
          <w:tcPr>
            <w:tcW w:w="29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50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1</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521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Right-of-use assets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9</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3,182</w:t>
            </w:r>
          </w:p>
        </w:tc>
        <w:tc>
          <w:tcPr>
            <w:tcW w:w="1300" w:type="dxa"/>
            <w:vAlign w:val="bottom"/>
          </w:tcPr>
          <w:p>
            <w:pPr>
              <w:jc w:val="right"/>
              <w:spacing w:after="0"/>
              <w:rPr>
                <w:sz w:val="20"/>
                <w:szCs w:val="20"/>
                <w:color w:val="auto"/>
              </w:rPr>
            </w:pPr>
            <w:r>
              <w:rPr>
                <w:rFonts w:ascii="Arial" w:cs="Arial" w:eastAsia="Arial" w:hAnsi="Arial"/>
                <w:sz w:val="13"/>
                <w:szCs w:val="13"/>
                <w:color w:val="auto"/>
              </w:rPr>
              <w:t>4,286</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2</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Investment in subsidiaries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3</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590,821</w:t>
            </w:r>
          </w:p>
        </w:tc>
        <w:tc>
          <w:tcPr>
            <w:tcW w:w="1300" w:type="dxa"/>
            <w:vAlign w:val="bottom"/>
          </w:tcPr>
          <w:p>
            <w:pPr>
              <w:jc w:val="right"/>
              <w:spacing w:after="0"/>
              <w:rPr>
                <w:sz w:val="20"/>
                <w:szCs w:val="20"/>
                <w:color w:val="auto"/>
              </w:rPr>
            </w:pPr>
            <w:r>
              <w:rPr>
                <w:rFonts w:ascii="Arial" w:cs="Arial" w:eastAsia="Arial" w:hAnsi="Arial"/>
                <w:sz w:val="13"/>
                <w:szCs w:val="13"/>
                <w:color w:val="auto"/>
              </w:rPr>
              <w:t>241,366</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37</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asset</w:t>
            </w:r>
          </w:p>
        </w:tc>
        <w:tc>
          <w:tcPr>
            <w:tcW w:w="55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i w:val="1"/>
                <w:iCs w:val="1"/>
                <w:color w:val="auto"/>
              </w:rPr>
              <w:t>4</w:t>
            </w: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434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w:t>
            </w: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595,039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246,793</w:t>
            </w:r>
          </w:p>
        </w:tc>
      </w:tr>
      <w:tr>
        <w:trPr>
          <w:trHeight w:val="16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5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5</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1,431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1,714</w:t>
            </w: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Amounts due from subsidiary undertakings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6</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164,992</w:t>
            </w:r>
          </w:p>
        </w:tc>
        <w:tc>
          <w:tcPr>
            <w:tcW w:w="1300" w:type="dxa"/>
            <w:vAlign w:val="bottom"/>
          </w:tcPr>
          <w:p>
            <w:pPr>
              <w:jc w:val="right"/>
              <w:spacing w:after="0"/>
              <w:rPr>
                <w:sz w:val="20"/>
                <w:szCs w:val="20"/>
                <w:color w:val="auto"/>
              </w:rPr>
            </w:pPr>
            <w:r>
              <w:rPr>
                <w:rFonts w:ascii="Arial" w:cs="Arial" w:eastAsia="Arial" w:hAnsi="Arial"/>
                <w:sz w:val="13"/>
                <w:szCs w:val="13"/>
                <w:color w:val="auto"/>
              </w:rPr>
              <w:t>554,169</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taxes receivable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w:t>
            </w:r>
          </w:p>
        </w:tc>
        <w:tc>
          <w:tcPr>
            <w:tcW w:w="5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308,200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176,299</w:t>
            </w: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474,623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732,201</w:t>
            </w:r>
          </w:p>
        </w:tc>
      </w:tr>
      <w:tr>
        <w:trPr>
          <w:trHeight w:val="108"/>
        </w:trPr>
        <w:tc>
          <w:tcPr>
            <w:tcW w:w="2920" w:type="dxa"/>
            <w:vAlign w:val="bottom"/>
            <w:tcBorders>
              <w:bottom w:val="single" w:sz="8" w:color="auto"/>
            </w:tcBorders>
          </w:tcPr>
          <w:p>
            <w:pPr>
              <w:spacing w:after="0"/>
              <w:rPr>
                <w:sz w:val="9"/>
                <w:szCs w:val="9"/>
                <w:color w:val="auto"/>
              </w:rPr>
            </w:pPr>
          </w:p>
        </w:tc>
        <w:tc>
          <w:tcPr>
            <w:tcW w:w="55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162"/>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1,069,662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978,994</w:t>
            </w:r>
          </w:p>
        </w:tc>
      </w:tr>
      <w:tr>
        <w:trPr>
          <w:trHeight w:val="149"/>
        </w:trPr>
        <w:tc>
          <w:tcPr>
            <w:tcW w:w="29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Share capital</w:t>
            </w:r>
          </w:p>
        </w:tc>
        <w:tc>
          <w:tcPr>
            <w:tcW w:w="556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4,580</w:t>
            </w:r>
          </w:p>
        </w:tc>
        <w:tc>
          <w:tcPr>
            <w:tcW w:w="1300" w:type="dxa"/>
            <w:vAlign w:val="bottom"/>
          </w:tcPr>
          <w:p>
            <w:pPr>
              <w:jc w:val="right"/>
              <w:spacing w:after="0"/>
              <w:rPr>
                <w:sz w:val="20"/>
                <w:szCs w:val="20"/>
                <w:color w:val="auto"/>
              </w:rPr>
            </w:pPr>
            <w:r>
              <w:rPr>
                <w:rFonts w:ascii="Arial" w:cs="Arial" w:eastAsia="Arial" w:hAnsi="Arial"/>
                <w:sz w:val="13"/>
                <w:szCs w:val="13"/>
                <w:color w:val="auto"/>
              </w:rPr>
              <w:t>4,635</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premium</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318,404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305,228</w:t>
            </w: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Other undenominated capital</w:t>
            </w:r>
          </w:p>
        </w:tc>
        <w:tc>
          <w:tcPr>
            <w:tcW w:w="556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1,134</w:t>
            </w:r>
          </w:p>
        </w:tc>
        <w:tc>
          <w:tcPr>
            <w:tcW w:w="1300" w:type="dxa"/>
            <w:vAlign w:val="bottom"/>
          </w:tcPr>
          <w:p>
            <w:pPr>
              <w:jc w:val="right"/>
              <w:spacing w:after="0"/>
              <w:rPr>
                <w:sz w:val="20"/>
                <w:szCs w:val="20"/>
                <w:color w:val="auto"/>
              </w:rPr>
            </w:pPr>
            <w:r>
              <w:rPr>
                <w:rFonts w:ascii="Arial" w:cs="Arial" w:eastAsia="Arial" w:hAnsi="Arial"/>
                <w:sz w:val="13"/>
                <w:szCs w:val="13"/>
                <w:color w:val="auto"/>
              </w:rPr>
              <w:t>1,052</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reserve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131,557</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128,747</w:t>
            </w: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Other reserves</w:t>
            </w:r>
          </w:p>
        </w:tc>
        <w:tc>
          <w:tcPr>
            <w:tcW w:w="5560" w:type="dxa"/>
            <w:vAlign w:val="bottom"/>
          </w:tcPr>
          <w:p>
            <w:pPr>
              <w:spacing w:after="0"/>
              <w:rPr>
                <w:sz w:val="14"/>
                <w:szCs w:val="14"/>
                <w:color w:val="auto"/>
              </w:rPr>
            </w:pPr>
          </w:p>
        </w:tc>
        <w:tc>
          <w:tcPr>
            <w:tcW w:w="1500" w:type="dxa"/>
            <w:vAlign w:val="bottom"/>
          </w:tcPr>
          <w:p>
            <w:pPr>
              <w:jc w:val="right"/>
              <w:ind w:right="136"/>
              <w:spacing w:after="0"/>
              <w:rPr>
                <w:sz w:val="20"/>
                <w:szCs w:val="20"/>
                <w:color w:val="auto"/>
              </w:rPr>
            </w:pPr>
            <w:r>
              <w:rPr>
                <w:rFonts w:ascii="Arial" w:cs="Arial" w:eastAsia="Arial" w:hAnsi="Arial"/>
                <w:sz w:val="13"/>
                <w:szCs w:val="13"/>
                <w:b w:val="1"/>
                <w:bCs w:val="1"/>
                <w:color w:val="auto"/>
              </w:rPr>
              <w:t>(107,317)</w:t>
            </w:r>
          </w:p>
        </w:tc>
        <w:tc>
          <w:tcPr>
            <w:tcW w:w="1300" w:type="dxa"/>
            <w:vAlign w:val="bottom"/>
          </w:tcPr>
          <w:p>
            <w:pPr>
              <w:jc w:val="right"/>
              <w:spacing w:after="0"/>
              <w:rPr>
                <w:sz w:val="20"/>
                <w:szCs w:val="20"/>
                <w:color w:val="auto"/>
              </w:rPr>
            </w:pPr>
            <w:r>
              <w:rPr>
                <w:rFonts w:ascii="Arial" w:cs="Arial" w:eastAsia="Arial" w:hAnsi="Arial"/>
                <w:sz w:val="13"/>
                <w:szCs w:val="13"/>
                <w:color w:val="auto"/>
              </w:rPr>
              <w:t>(107,467)</w:t>
            </w:r>
          </w:p>
        </w:tc>
      </w:tr>
      <w:tr>
        <w:trPr>
          <w:trHeight w:val="17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Retained earnings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700,402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623,368</w:t>
            </w:r>
          </w:p>
        </w:tc>
      </w:tr>
      <w:tr>
        <w:trPr>
          <w:trHeight w:val="16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Attributable to equity holders</w:t>
            </w: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1,048,760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955,563</w:t>
            </w:r>
          </w:p>
        </w:tc>
      </w:tr>
      <w:tr>
        <w:trPr>
          <w:trHeight w:val="108"/>
        </w:trPr>
        <w:tc>
          <w:tcPr>
            <w:tcW w:w="2920" w:type="dxa"/>
            <w:vAlign w:val="bottom"/>
            <w:tcBorders>
              <w:bottom w:val="single" w:sz="8" w:color="auto"/>
            </w:tcBorders>
            <w:shd w:val="clear" w:color="auto" w:fill="CCEEFF"/>
          </w:tcPr>
          <w:p>
            <w:pPr>
              <w:spacing w:after="0"/>
              <w:rPr>
                <w:sz w:val="9"/>
                <w:szCs w:val="9"/>
                <w:color w:val="auto"/>
              </w:rPr>
            </w:pPr>
          </w:p>
        </w:tc>
        <w:tc>
          <w:tcPr>
            <w:tcW w:w="556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r>
      <w:tr>
        <w:trPr>
          <w:trHeight w:val="16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equity</w:t>
            </w: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1,048,760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955,563</w:t>
            </w:r>
          </w:p>
        </w:tc>
      </w:tr>
      <w:tr>
        <w:trPr>
          <w:trHeight w:val="108"/>
        </w:trPr>
        <w:tc>
          <w:tcPr>
            <w:tcW w:w="2920" w:type="dxa"/>
            <w:vAlign w:val="bottom"/>
            <w:shd w:val="clear" w:color="auto" w:fill="CCEEFF"/>
          </w:tcPr>
          <w:p>
            <w:pPr>
              <w:spacing w:after="0"/>
              <w:rPr>
                <w:sz w:val="9"/>
                <w:szCs w:val="9"/>
                <w:color w:val="auto"/>
              </w:rPr>
            </w:pPr>
          </w:p>
        </w:tc>
        <w:tc>
          <w:tcPr>
            <w:tcW w:w="55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other liabilities</w:t>
            </w:r>
          </w:p>
        </w:tc>
        <w:tc>
          <w:tcPr>
            <w:tcW w:w="55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i w:val="1"/>
                <w:iCs w:val="1"/>
                <w:color w:val="auto"/>
              </w:rPr>
              <w:t>7</w:t>
            </w: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8,130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8,586</w:t>
            </w: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8,130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8,586</w:t>
            </w:r>
          </w:p>
        </w:tc>
      </w:tr>
      <w:tr>
        <w:trPr>
          <w:trHeight w:val="16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5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920" w:type="dxa"/>
            <w:vAlign w:val="bottom"/>
          </w:tcPr>
          <w:p>
            <w:pPr>
              <w:ind w:left="20"/>
              <w:spacing w:after="0"/>
              <w:rPr>
                <w:sz w:val="20"/>
                <w:szCs w:val="20"/>
                <w:color w:val="auto"/>
              </w:rPr>
            </w:pPr>
            <w:r>
              <w:rPr>
                <w:rFonts w:ascii="Arial" w:cs="Arial" w:eastAsia="Arial" w:hAnsi="Arial"/>
                <w:sz w:val="13"/>
                <w:szCs w:val="13"/>
                <w:color w:val="auto"/>
              </w:rPr>
              <w:t>Amounts due to subsidiary undertakings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6</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1,305</w:t>
            </w:r>
          </w:p>
        </w:tc>
        <w:tc>
          <w:tcPr>
            <w:tcW w:w="1300" w:type="dxa"/>
            <w:vAlign w:val="bottom"/>
          </w:tcPr>
          <w:p>
            <w:pPr>
              <w:jc w:val="right"/>
              <w:spacing w:after="0"/>
              <w:rPr>
                <w:sz w:val="20"/>
                <w:szCs w:val="20"/>
                <w:color w:val="auto"/>
              </w:rPr>
            </w:pPr>
            <w:r>
              <w:rPr>
                <w:rFonts w:ascii="Arial" w:cs="Arial" w:eastAsia="Arial" w:hAnsi="Arial"/>
                <w:sz w:val="13"/>
                <w:szCs w:val="13"/>
                <w:color w:val="auto"/>
              </w:rPr>
              <w:t>2,916</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7</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11,285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11,749</w:t>
            </w:r>
          </w:p>
        </w:tc>
      </w:tr>
      <w:tr>
        <w:trPr>
          <w:trHeight w:val="16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Current taxes payable</w:t>
            </w:r>
          </w:p>
        </w:tc>
        <w:tc>
          <w:tcPr>
            <w:tcW w:w="5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147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w:t>
            </w:r>
          </w:p>
        </w:tc>
      </w:tr>
      <w:tr>
        <w:trPr>
          <w:trHeight w:val="160"/>
        </w:trPr>
        <w:tc>
          <w:tcPr>
            <w:tcW w:w="2920" w:type="dxa"/>
            <w:vAlign w:val="bottom"/>
            <w:tcBorders>
              <w:bottom w:val="single" w:sz="8" w:color="auto"/>
            </w:tcBorders>
            <w:shd w:val="clear" w:color="auto" w:fill="CCEEFF"/>
          </w:tcPr>
          <w:p>
            <w:pPr>
              <w:spacing w:after="0"/>
              <w:rPr>
                <w:sz w:val="13"/>
                <w:szCs w:val="13"/>
                <w:color w:val="auto"/>
              </w:rPr>
            </w:pP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12,772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14,845</w:t>
            </w:r>
          </w:p>
        </w:tc>
      </w:tr>
      <w:tr>
        <w:trPr>
          <w:trHeight w:val="150"/>
        </w:trPr>
        <w:tc>
          <w:tcPr>
            <w:tcW w:w="2920" w:type="dxa"/>
            <w:vAlign w:val="bottom"/>
            <w:tcBorders>
              <w:bottom w:val="single" w:sz="8" w:color="auto"/>
            </w:tcBorders>
          </w:tcPr>
          <w:p>
            <w:pPr>
              <w:spacing w:after="0"/>
              <w:rPr>
                <w:sz w:val="13"/>
                <w:szCs w:val="13"/>
                <w:color w:val="auto"/>
              </w:rPr>
            </w:pP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20,902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23,431</w:t>
            </w:r>
          </w:p>
        </w:tc>
      </w:tr>
      <w:tr>
        <w:trPr>
          <w:trHeight w:val="150"/>
        </w:trPr>
        <w:tc>
          <w:tcPr>
            <w:tcW w:w="2920" w:type="dxa"/>
            <w:vAlign w:val="bottom"/>
            <w:tcBorders>
              <w:bottom w:val="single" w:sz="8" w:color="auto"/>
            </w:tcBorders>
          </w:tcPr>
          <w:p>
            <w:pPr>
              <w:spacing w:after="0"/>
              <w:rPr>
                <w:sz w:val="13"/>
                <w:szCs w:val="13"/>
                <w:color w:val="auto"/>
              </w:rPr>
            </w:pP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62"/>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1,069,662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978,994</w:t>
            </w:r>
          </w:p>
        </w:tc>
      </w:tr>
      <w:tr>
        <w:trPr>
          <w:trHeight w:val="218"/>
        </w:trPr>
        <w:tc>
          <w:tcPr>
            <w:tcW w:w="292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1"/>
        </w:trPr>
        <w:tc>
          <w:tcPr>
            <w:tcW w:w="292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560" w:type="dxa"/>
            <w:vAlign w:val="bottom"/>
          </w:tcPr>
          <w:p>
            <w:pPr>
              <w:ind w:left="50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92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560" w:type="dxa"/>
            <w:vAlign w:val="bottom"/>
          </w:tcPr>
          <w:p>
            <w:pPr>
              <w:ind w:left="50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80"/>
          </w:cols>
          <w:pgMar w:left="300" w:top="906" w:right="3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Company Statement of Changes in Equity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Other</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66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Number</w:t>
            </w:r>
          </w:p>
        </w:tc>
        <w:tc>
          <w:tcPr>
            <w:tcW w:w="7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1180" w:type="dxa"/>
            <w:vAlign w:val="bottom"/>
            <w:vMerge w:val="continue"/>
            <w:shd w:val="clear" w:color="auto" w:fill="CCEEFF"/>
          </w:tcPr>
          <w:p>
            <w:pPr>
              <w:spacing w:after="0"/>
              <w:rPr>
                <w:sz w:val="11"/>
                <w:szCs w:val="11"/>
                <w:color w:val="auto"/>
              </w:rPr>
            </w:pP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Based</w:t>
            </w:r>
          </w:p>
        </w:tc>
        <w:tc>
          <w:tcPr>
            <w:tcW w:w="7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w:t>
            </w: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Currency</w:t>
            </w:r>
          </w:p>
        </w:tc>
        <w:tc>
          <w:tcPr>
            <w:tcW w:w="7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Retained</w:t>
            </w: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6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18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Undenominated</w:t>
            </w: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Payment</w:t>
            </w:r>
          </w:p>
        </w:tc>
        <w:tc>
          <w:tcPr>
            <w:tcW w:w="72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of shares</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Premium</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Capital</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Reserve</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Earnings Total Equity</w:t>
            </w:r>
          </w:p>
        </w:tc>
        <w:tc>
          <w:tcPr>
            <w:tcW w:w="0" w:type="dxa"/>
            <w:vAlign w:val="bottom"/>
          </w:tcPr>
          <w:p>
            <w:pPr>
              <w:spacing w:after="0"/>
              <w:rPr>
                <w:sz w:val="1"/>
                <w:szCs w:val="1"/>
                <w:color w:val="auto"/>
              </w:rPr>
            </w:pPr>
          </w:p>
        </w:tc>
      </w:tr>
      <w:tr>
        <w:trPr>
          <w:trHeight w:val="169"/>
        </w:trPr>
        <w:tc>
          <w:tcPr>
            <w:tcW w:w="36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82"/>
        </w:trPr>
        <w:tc>
          <w:tcPr>
            <w:tcW w:w="36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1 January 2020</w:t>
            </w: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53,622,206</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4,635</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305,228</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1,052</w:t>
            </w: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128,747</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6,071</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(113,538)</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623,368</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955,563</w:t>
            </w:r>
          </w:p>
        </w:tc>
        <w:tc>
          <w:tcPr>
            <w:tcW w:w="0" w:type="dxa"/>
            <w:vAlign w:val="bottom"/>
          </w:tcPr>
          <w:p>
            <w:pPr>
              <w:spacing w:after="0"/>
              <w:rPr>
                <w:sz w:val="1"/>
                <w:szCs w:val="1"/>
                <w:color w:val="auto"/>
              </w:rPr>
            </w:pPr>
          </w:p>
        </w:tc>
      </w:tr>
      <w:tr>
        <w:trPr>
          <w:trHeight w:val="161"/>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 for the year</w:t>
            </w:r>
          </w:p>
        </w:tc>
        <w:tc>
          <w:tcPr>
            <w:tcW w:w="1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Arial" w:cs="Arial" w:eastAsia="Arial" w:hAnsi="Arial"/>
                <w:sz w:val="13"/>
                <w:szCs w:val="13"/>
                <w:color w:val="auto"/>
              </w:rPr>
              <w:t>Profit for the year</w:t>
            </w:r>
          </w:p>
        </w:tc>
        <w:tc>
          <w:tcPr>
            <w:tcW w:w="12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228,691</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228,691</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150</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other comprehensive income</w:t>
            </w: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150</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150</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228,691</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228,841</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Arial" w:cs="Arial" w:eastAsia="Arial" w:hAnsi="Arial"/>
                <w:sz w:val="13"/>
                <w:szCs w:val="13"/>
                <w:color w:val="auto"/>
              </w:rPr>
              <w:t>Share based payment</w:t>
            </w:r>
          </w:p>
        </w:tc>
        <w:tc>
          <w:tcPr>
            <w:tcW w:w="12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26,307</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26,307</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193,417</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13,176</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13,189</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Arial" w:cs="Arial" w:eastAsia="Arial" w:hAnsi="Arial"/>
                <w:sz w:val="13"/>
                <w:szCs w:val="13"/>
                <w:color w:val="auto"/>
              </w:rPr>
              <w:t>Share issue costs</w:t>
            </w:r>
          </w:p>
        </w:tc>
        <w:tc>
          <w:tcPr>
            <w:tcW w:w="12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(14)</w:t>
            </w:r>
          </w:p>
        </w:tc>
        <w:tc>
          <w:tcPr>
            <w:tcW w:w="72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 of restricted share units</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207,688</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14</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Arial" w:cs="Arial" w:eastAsia="Arial" w:hAnsi="Arial"/>
                <w:sz w:val="13"/>
                <w:szCs w:val="13"/>
                <w:color w:val="auto"/>
              </w:rPr>
              <w:t>Repurchase of ordinary shares</w:t>
            </w: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(1,235,218)</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(82)</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82</w:t>
            </w: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(175,000)</w:t>
            </w:r>
          </w:p>
        </w:tc>
        <w:tc>
          <w:tcPr>
            <w:tcW w:w="720" w:type="dxa"/>
            <w:vAlign w:val="bottom"/>
          </w:tcPr>
          <w:p>
            <w:pPr>
              <w:jc w:val="right"/>
              <w:spacing w:after="0"/>
              <w:rPr>
                <w:sz w:val="20"/>
                <w:szCs w:val="20"/>
                <w:color w:val="auto"/>
              </w:rPr>
            </w:pPr>
            <w:r>
              <w:rPr>
                <w:rFonts w:ascii="Arial" w:cs="Arial" w:eastAsia="Arial" w:hAnsi="Arial"/>
                <w:sz w:val="13"/>
                <w:szCs w:val="13"/>
                <w:color w:val="auto"/>
              </w:rPr>
              <w:t>(175,000)</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 costs</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68"/>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Transfer of exercised and expired share based awards</w:t>
            </w: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(23,497)</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23,497</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(834,113)</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13,176</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82</w:t>
            </w: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2,810</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(151,657)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(135,644)</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2020</w:t>
            </w: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52,788,093</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4,580</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318,404</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1,134</w:t>
            </w: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131,557</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6,071</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(113,388)</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700,402</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1,048,760</w:t>
            </w: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i w:val="1"/>
          <w:iCs w:val="1"/>
          <w:color w:val="auto"/>
        </w:rPr>
        <w:t>As permitted by section 504 of the Companies Act 2014, the Company has not presented a Company Statement of Profit and Loss. The profit for the 2020 financial year of the Company amounted to $228,691,000 (2019: profit $274,048,000).</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80"/>
          </w:cols>
          <w:pgMar w:left="300" w:top="907" w:right="31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Company Statement of Changes in Equity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Other</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68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Number</w:t>
            </w:r>
          </w:p>
        </w:tc>
        <w:tc>
          <w:tcPr>
            <w:tcW w:w="6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1180" w:type="dxa"/>
            <w:vAlign w:val="bottom"/>
            <w:vMerge w:val="continue"/>
            <w:shd w:val="clear" w:color="auto" w:fill="CCEEFF"/>
          </w:tcPr>
          <w:p>
            <w:pPr>
              <w:spacing w:after="0"/>
              <w:rPr>
                <w:sz w:val="11"/>
                <w:szCs w:val="11"/>
                <w:color w:val="auto"/>
              </w:rPr>
            </w:pP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based</w:t>
            </w:r>
          </w:p>
        </w:tc>
        <w:tc>
          <w:tcPr>
            <w:tcW w:w="7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w:t>
            </w: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Currency</w:t>
            </w: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Retained</w:t>
            </w: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18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Undenominated</w:t>
            </w: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Payment</w:t>
            </w:r>
          </w:p>
        </w:tc>
        <w:tc>
          <w:tcPr>
            <w:tcW w:w="72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of shares</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Premium</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Capital</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Reserve</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Earnings Total Equity</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82"/>
        </w:trPr>
        <w:tc>
          <w:tcPr>
            <w:tcW w:w="3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1 January 2019</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53,971,706</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4,658</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283,629</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983</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134,208</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6,071</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(113,535)</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465,110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781,124</w:t>
            </w:r>
          </w:p>
        </w:tc>
        <w:tc>
          <w:tcPr>
            <w:tcW w:w="0" w:type="dxa"/>
            <w:vAlign w:val="bottom"/>
          </w:tcPr>
          <w:p>
            <w:pPr>
              <w:spacing w:after="0"/>
              <w:rPr>
                <w:sz w:val="1"/>
                <w:szCs w:val="1"/>
                <w:color w:val="auto"/>
              </w:rPr>
            </w:pPr>
          </w:p>
        </w:tc>
      </w:tr>
      <w:tr>
        <w:trPr>
          <w:trHeight w:val="161"/>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 for the year</w:t>
            </w: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color w:val="auto"/>
              </w:rPr>
              <w:t>Profit for the year</w:t>
            </w:r>
          </w:p>
        </w:tc>
        <w:tc>
          <w:tcPr>
            <w:tcW w:w="12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274,048</w:t>
            </w:r>
          </w:p>
        </w:tc>
        <w:tc>
          <w:tcPr>
            <w:tcW w:w="660" w:type="dxa"/>
            <w:vAlign w:val="bottom"/>
          </w:tcPr>
          <w:p>
            <w:pPr>
              <w:jc w:val="right"/>
              <w:spacing w:after="0"/>
              <w:rPr>
                <w:sz w:val="20"/>
                <w:szCs w:val="20"/>
                <w:color w:val="auto"/>
              </w:rPr>
            </w:pPr>
            <w:r>
              <w:rPr>
                <w:rFonts w:ascii="Arial" w:cs="Arial" w:eastAsia="Arial" w:hAnsi="Arial"/>
                <w:sz w:val="13"/>
                <w:szCs w:val="13"/>
                <w:color w:val="auto"/>
              </w:rPr>
              <w:t>274,048</w:t>
            </w:r>
          </w:p>
        </w:tc>
        <w:tc>
          <w:tcPr>
            <w:tcW w:w="0" w:type="dxa"/>
            <w:vAlign w:val="bottom"/>
          </w:tcPr>
          <w:p>
            <w:pPr>
              <w:spacing w:after="0"/>
              <w:rPr>
                <w:sz w:val="1"/>
                <w:szCs w:val="1"/>
                <w:color w:val="auto"/>
              </w:rPr>
            </w:pPr>
          </w:p>
        </w:tc>
      </w:tr>
      <w:tr>
        <w:trPr>
          <w:trHeight w:val="172"/>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other comprehensive income</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274,048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274,045</w:t>
            </w:r>
          </w:p>
        </w:tc>
        <w:tc>
          <w:tcPr>
            <w:tcW w:w="0" w:type="dxa"/>
            <w:vAlign w:val="bottom"/>
          </w:tcPr>
          <w:p>
            <w:pPr>
              <w:spacing w:after="0"/>
              <w:rPr>
                <w:sz w:val="1"/>
                <w:szCs w:val="1"/>
                <w:color w:val="auto"/>
              </w:rPr>
            </w:pPr>
          </w:p>
        </w:tc>
      </w:tr>
      <w:tr>
        <w:trPr>
          <w:trHeight w:val="163"/>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12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25,800</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25,800</w:t>
            </w:r>
          </w:p>
        </w:tc>
        <w:tc>
          <w:tcPr>
            <w:tcW w:w="0" w:type="dxa"/>
            <w:vAlign w:val="bottom"/>
          </w:tcPr>
          <w:p>
            <w:pPr>
              <w:spacing w:after="0"/>
              <w:rPr>
                <w:sz w:val="1"/>
                <w:szCs w:val="1"/>
                <w:color w:val="auto"/>
              </w:rPr>
            </w:pPr>
          </w:p>
        </w:tc>
      </w:tr>
      <w:tr>
        <w:trPr>
          <w:trHeight w:val="172"/>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329,870</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21,599</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21,621</w:t>
            </w:r>
          </w:p>
        </w:tc>
        <w:tc>
          <w:tcPr>
            <w:tcW w:w="0" w:type="dxa"/>
            <w:vAlign w:val="bottom"/>
          </w:tcPr>
          <w:p>
            <w:pPr>
              <w:spacing w:after="0"/>
              <w:rPr>
                <w:sz w:val="1"/>
                <w:szCs w:val="1"/>
                <w:color w:val="auto"/>
              </w:rPr>
            </w:pP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color w:val="auto"/>
              </w:rPr>
              <w:t>Share issue costs</w:t>
            </w:r>
          </w:p>
        </w:tc>
        <w:tc>
          <w:tcPr>
            <w:tcW w:w="12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(13)</w:t>
            </w:r>
          </w:p>
        </w:tc>
        <w:tc>
          <w:tcPr>
            <w:tcW w:w="66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2"/>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 of restricted share units</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355,730</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color w:val="auto"/>
              </w:rPr>
              <w:t>Repurchase of ordinary shares</w:t>
            </w: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(1,035,100)</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(69)</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69</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(146,931)</w:t>
            </w:r>
          </w:p>
        </w:tc>
        <w:tc>
          <w:tcPr>
            <w:tcW w:w="660" w:type="dxa"/>
            <w:vAlign w:val="bottom"/>
          </w:tcPr>
          <w:p>
            <w:pPr>
              <w:jc w:val="right"/>
              <w:spacing w:after="0"/>
              <w:rPr>
                <w:sz w:val="20"/>
                <w:szCs w:val="20"/>
                <w:color w:val="auto"/>
              </w:rPr>
            </w:pPr>
            <w:r>
              <w:rPr>
                <w:rFonts w:ascii="Arial" w:cs="Arial" w:eastAsia="Arial" w:hAnsi="Arial"/>
                <w:sz w:val="13"/>
                <w:szCs w:val="13"/>
                <w:color w:val="auto"/>
              </w:rPr>
              <w:t>(146,931)</w:t>
            </w:r>
          </w:p>
        </w:tc>
        <w:tc>
          <w:tcPr>
            <w:tcW w:w="0" w:type="dxa"/>
            <w:vAlign w:val="bottom"/>
          </w:tcPr>
          <w:p>
            <w:pPr>
              <w:spacing w:after="0"/>
              <w:rPr>
                <w:sz w:val="1"/>
                <w:szCs w:val="1"/>
                <w:color w:val="auto"/>
              </w:rPr>
            </w:pPr>
          </w:p>
        </w:tc>
      </w:tr>
      <w:tr>
        <w:trPr>
          <w:trHeight w:val="172"/>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 costs</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Transfer of exercised and expired share-based awards</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(31,261)</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31,261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(349,500)</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21,599</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69</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(5,461)</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(115,790)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(99,606)</w:t>
            </w: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2019</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53,622,206</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4,635</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305,228</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1,052</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128,747</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6,071</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(113,538)</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623,368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955,563</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line="283" w:lineRule="auto"/>
        <w:rPr>
          <w:sz w:val="20"/>
          <w:szCs w:val="20"/>
          <w:color w:val="auto"/>
        </w:rPr>
      </w:pPr>
      <w:r>
        <w:rPr>
          <w:rFonts w:ascii="Arial" w:cs="Arial" w:eastAsia="Arial" w:hAnsi="Arial"/>
          <w:sz w:val="11"/>
          <w:szCs w:val="11"/>
          <w:i w:val="1"/>
          <w:iCs w:val="1"/>
          <w:color w:val="auto"/>
        </w:rPr>
        <w:t>As permitted by section 504 of the Companies Act 2014, the Company has not presented a Company Statement of Profit and Loss. The profit for the 2019 financial year of the Company amounted to $274,048,000 (2018: profit $165,912,0000).</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80"/>
          </w:cols>
          <w:pgMar w:left="300" w:top="906" w:right="3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Company Statement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3"/>
                <w:szCs w:val="13"/>
                <w:color w:val="auto"/>
              </w:rPr>
            </w:pPr>
          </w:p>
        </w:tc>
        <w:tc>
          <w:tcPr>
            <w:tcW w:w="2460" w:type="dxa"/>
            <w:vAlign w:val="bottom"/>
            <w:vMerge w:val="restart"/>
            <w:shd w:val="clear" w:color="auto" w:fill="CCEEFF"/>
          </w:tcPr>
          <w:p>
            <w:pPr>
              <w:jc w:val="center"/>
              <w:ind w:left="1596"/>
              <w:spacing w:after="0"/>
              <w:rPr>
                <w:sz w:val="20"/>
                <w:szCs w:val="20"/>
                <w:color w:val="auto"/>
              </w:rPr>
            </w:pPr>
            <w:r>
              <w:rPr>
                <w:rFonts w:ascii="Arial" w:cs="Arial" w:eastAsia="Arial" w:hAnsi="Arial"/>
                <w:sz w:val="13"/>
                <w:szCs w:val="13"/>
                <w:b w:val="1"/>
                <w:bCs w:val="1"/>
                <w:i w:val="1"/>
                <w:iCs w:val="1"/>
                <w:color w:val="auto"/>
                <w:w w:val="96"/>
              </w:rPr>
              <w:t>Note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c>
          <w:tcPr>
            <w:tcW w:w="0" w:type="dxa"/>
            <w:vAlign w:val="bottom"/>
          </w:tcPr>
          <w:p>
            <w:pPr>
              <w:spacing w:after="0"/>
              <w:rPr>
                <w:sz w:val="1"/>
                <w:szCs w:val="1"/>
                <w:color w:val="auto"/>
              </w:rPr>
            </w:pPr>
          </w:p>
        </w:tc>
      </w:tr>
      <w:tr>
        <w:trPr>
          <w:trHeight w:val="127"/>
        </w:trPr>
        <w:tc>
          <w:tcPr>
            <w:tcW w:w="5840" w:type="dxa"/>
            <w:vAlign w:val="bottom"/>
            <w:shd w:val="clear" w:color="auto" w:fill="CCEEFF"/>
          </w:tcPr>
          <w:p>
            <w:pPr>
              <w:spacing w:after="0"/>
              <w:rPr>
                <w:sz w:val="11"/>
                <w:szCs w:val="11"/>
                <w:color w:val="auto"/>
              </w:rPr>
            </w:pPr>
          </w:p>
        </w:tc>
        <w:tc>
          <w:tcPr>
            <w:tcW w:w="2460" w:type="dxa"/>
            <w:vAlign w:val="bottom"/>
            <w:vMerge w:val="continue"/>
            <w:shd w:val="clear" w:color="auto" w:fill="CCEEFF"/>
          </w:tcPr>
          <w:p>
            <w:pPr>
              <w:spacing w:after="0"/>
              <w:rPr>
                <w:sz w:val="11"/>
                <w:szCs w:val="11"/>
                <w:color w:val="auto"/>
              </w:rPr>
            </w:pPr>
          </w:p>
        </w:tc>
        <w:tc>
          <w:tcPr>
            <w:tcW w:w="194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December</w:t>
            </w:r>
          </w:p>
        </w:tc>
        <w:tc>
          <w:tcPr>
            <w:tcW w:w="10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69"/>
        </w:trPr>
        <w:tc>
          <w:tcPr>
            <w:tcW w:w="58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10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82"/>
        </w:trPr>
        <w:tc>
          <w:tcPr>
            <w:tcW w:w="5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246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228,691</w:t>
            </w:r>
          </w:p>
        </w:tc>
        <w:tc>
          <w:tcPr>
            <w:tcW w:w="1040" w:type="dxa"/>
            <w:vAlign w:val="bottom"/>
          </w:tcPr>
          <w:p>
            <w:pPr>
              <w:jc w:val="right"/>
              <w:spacing w:after="0"/>
              <w:rPr>
                <w:sz w:val="20"/>
                <w:szCs w:val="20"/>
                <w:color w:val="auto"/>
              </w:rPr>
            </w:pPr>
            <w:r>
              <w:rPr>
                <w:rFonts w:ascii="Arial" w:cs="Arial" w:eastAsia="Arial" w:hAnsi="Arial"/>
                <w:sz w:val="13"/>
                <w:szCs w:val="13"/>
                <w:color w:val="auto"/>
              </w:rPr>
              <w:t>274,048</w:t>
            </w:r>
          </w:p>
        </w:tc>
        <w:tc>
          <w:tcPr>
            <w:tcW w:w="0" w:type="dxa"/>
            <w:vAlign w:val="bottom"/>
          </w:tcPr>
          <w:p>
            <w:pPr>
              <w:spacing w:after="0"/>
              <w:rPr>
                <w:sz w:val="1"/>
                <w:szCs w:val="1"/>
                <w:color w:val="auto"/>
              </w:rPr>
            </w:pPr>
          </w:p>
        </w:tc>
      </w:tr>
      <w:tr>
        <w:trPr>
          <w:trHeight w:val="128"/>
        </w:trPr>
        <w:tc>
          <w:tcPr>
            <w:tcW w:w="58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Adjustments to reconcile net income to net cash generated from</w:t>
            </w:r>
          </w:p>
        </w:tc>
        <w:tc>
          <w:tcPr>
            <w:tcW w:w="24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4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w:t>
            </w:r>
          </w:p>
        </w:tc>
        <w:tc>
          <w:tcPr>
            <w:tcW w:w="2460" w:type="dxa"/>
            <w:vAlign w:val="bottom"/>
          </w:tcPr>
          <w:p>
            <w:pPr>
              <w:jc w:val="center"/>
              <w:ind w:left="1576"/>
              <w:spacing w:after="0"/>
              <w:rPr>
                <w:sz w:val="20"/>
                <w:szCs w:val="20"/>
                <w:color w:val="auto"/>
              </w:rPr>
            </w:pPr>
            <w:r>
              <w:rPr>
                <w:rFonts w:ascii="Arial" w:cs="Arial" w:eastAsia="Arial" w:hAnsi="Arial"/>
                <w:sz w:val="13"/>
                <w:szCs w:val="13"/>
                <w:i w:val="1"/>
                <w:iCs w:val="1"/>
                <w:color w:val="auto"/>
                <w:w w:val="82"/>
              </w:rPr>
              <w:t>1</w:t>
            </w: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137</w:t>
            </w:r>
          </w:p>
        </w:tc>
        <w:tc>
          <w:tcPr>
            <w:tcW w:w="1040" w:type="dxa"/>
            <w:vAlign w:val="bottom"/>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246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w w:val="82"/>
              </w:rPr>
              <w:t>9</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1,547</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w:t>
            </w: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Amortisation of intangible assets</w:t>
            </w:r>
          </w:p>
        </w:tc>
        <w:tc>
          <w:tcPr>
            <w:tcW w:w="2460" w:type="dxa"/>
            <w:vAlign w:val="bottom"/>
          </w:tcPr>
          <w:p>
            <w:pPr>
              <w:jc w:val="center"/>
              <w:ind w:left="1576"/>
              <w:spacing w:after="0"/>
              <w:rPr>
                <w:sz w:val="20"/>
                <w:szCs w:val="20"/>
                <w:color w:val="auto"/>
              </w:rPr>
            </w:pPr>
            <w:r>
              <w:rPr>
                <w:rFonts w:ascii="Arial" w:cs="Arial" w:eastAsia="Arial" w:hAnsi="Arial"/>
                <w:sz w:val="13"/>
                <w:szCs w:val="13"/>
                <w:i w:val="1"/>
                <w:iCs w:val="1"/>
                <w:color w:val="auto"/>
                <w:w w:val="82"/>
              </w:rPr>
              <w:t>2</w:t>
            </w: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31</w:t>
            </w:r>
          </w:p>
        </w:tc>
        <w:tc>
          <w:tcPr>
            <w:tcW w:w="104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lease liabilities</w:t>
            </w:r>
          </w:p>
        </w:tc>
        <w:tc>
          <w:tcPr>
            <w:tcW w:w="246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w w:val="82"/>
              </w:rPr>
              <w:t>9</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18</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payment</w:t>
            </w:r>
          </w:p>
        </w:tc>
        <w:tc>
          <w:tcPr>
            <w:tcW w:w="2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5,537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6,375</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cash inflow before changes in working capital</w:t>
            </w:r>
          </w:p>
        </w:tc>
        <w:tc>
          <w:tcPr>
            <w:tcW w:w="24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235,961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282,168</w:t>
            </w:r>
          </w:p>
        </w:tc>
        <w:tc>
          <w:tcPr>
            <w:tcW w:w="0" w:type="dxa"/>
            <w:vAlign w:val="bottom"/>
          </w:tcPr>
          <w:p>
            <w:pPr>
              <w:spacing w:after="0"/>
              <w:rPr>
                <w:sz w:val="1"/>
                <w:szCs w:val="1"/>
                <w:color w:val="auto"/>
              </w:rPr>
            </w:pPr>
          </w:p>
        </w:tc>
      </w:tr>
      <w:tr>
        <w:trPr>
          <w:trHeight w:val="160"/>
        </w:trPr>
        <w:tc>
          <w:tcPr>
            <w:tcW w:w="5840" w:type="dxa"/>
            <w:vAlign w:val="bottom"/>
          </w:tcPr>
          <w:p>
            <w:pPr>
              <w:ind w:left="20"/>
              <w:spacing w:after="0"/>
              <w:rPr>
                <w:sz w:val="20"/>
                <w:szCs w:val="20"/>
                <w:color w:val="auto"/>
              </w:rPr>
            </w:pPr>
            <w:r>
              <w:rPr>
                <w:rFonts w:ascii="Arial" w:cs="Arial" w:eastAsia="Arial" w:hAnsi="Arial"/>
                <w:sz w:val="13"/>
                <w:szCs w:val="13"/>
                <w:color w:val="auto"/>
              </w:rPr>
              <w:t>Decrease in other current assets</w:t>
            </w:r>
          </w:p>
        </w:tc>
        <w:tc>
          <w:tcPr>
            <w:tcW w:w="2460" w:type="dxa"/>
            <w:vAlign w:val="bottom"/>
          </w:tcPr>
          <w:p>
            <w:pPr>
              <w:spacing w:after="0"/>
              <w:rPr>
                <w:sz w:val="13"/>
                <w:szCs w:val="13"/>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285</w:t>
            </w:r>
          </w:p>
        </w:tc>
        <w:tc>
          <w:tcPr>
            <w:tcW w:w="1040" w:type="dxa"/>
            <w:vAlign w:val="bottom"/>
          </w:tcPr>
          <w:p>
            <w:pPr>
              <w:jc w:val="right"/>
              <w:spacing w:after="0"/>
              <w:rPr>
                <w:sz w:val="20"/>
                <w:szCs w:val="20"/>
                <w:color w:val="auto"/>
              </w:rPr>
            </w:pPr>
            <w:r>
              <w:rPr>
                <w:rFonts w:ascii="Arial" w:cs="Arial" w:eastAsia="Arial" w:hAnsi="Arial"/>
                <w:sz w:val="13"/>
                <w:szCs w:val="13"/>
                <w:color w:val="auto"/>
              </w:rPr>
              <w:t>424</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non-current assets</w:t>
            </w:r>
          </w:p>
        </w:tc>
        <w:tc>
          <w:tcPr>
            <w:tcW w:w="246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Decrease in income taxes receivable</w:t>
            </w:r>
          </w:p>
        </w:tc>
        <w:tc>
          <w:tcPr>
            <w:tcW w:w="246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536</w:t>
            </w:r>
          </w:p>
        </w:tc>
        <w:tc>
          <w:tcPr>
            <w:tcW w:w="1040" w:type="dxa"/>
            <w:vAlign w:val="bottom"/>
          </w:tcPr>
          <w:p>
            <w:pPr>
              <w:jc w:val="right"/>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accounts payable</w:t>
            </w:r>
          </w:p>
        </w:tc>
        <w:tc>
          <w:tcPr>
            <w:tcW w:w="246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35</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Decrease in accounts payable and accrued and other liabilities</w:t>
            </w:r>
          </w:p>
        </w:tc>
        <w:tc>
          <w:tcPr>
            <w:tcW w:w="2460" w:type="dxa"/>
            <w:vAlign w:val="bottom"/>
          </w:tcPr>
          <w:p>
            <w:pPr>
              <w:spacing w:after="0"/>
              <w:rPr>
                <w:sz w:val="14"/>
                <w:szCs w:val="14"/>
                <w:color w:val="auto"/>
              </w:rPr>
            </w:pPr>
          </w:p>
        </w:tc>
        <w:tc>
          <w:tcPr>
            <w:tcW w:w="1940" w:type="dxa"/>
            <w:vAlign w:val="bottom"/>
          </w:tcPr>
          <w:p>
            <w:pPr>
              <w:jc w:val="right"/>
              <w:ind w:right="416"/>
              <w:spacing w:after="0"/>
              <w:rPr>
                <w:sz w:val="20"/>
                <w:szCs w:val="20"/>
                <w:color w:val="auto"/>
              </w:rPr>
            </w:pPr>
            <w:r>
              <w:rPr>
                <w:rFonts w:ascii="Arial" w:cs="Arial" w:eastAsia="Arial" w:hAnsi="Arial"/>
                <w:sz w:val="13"/>
                <w:szCs w:val="13"/>
                <w:b w:val="1"/>
                <w:bCs w:val="1"/>
                <w:color w:val="auto"/>
              </w:rPr>
              <w:t>(609)</w:t>
            </w:r>
          </w:p>
        </w:tc>
        <w:tc>
          <w:tcPr>
            <w:tcW w:w="1040" w:type="dxa"/>
            <w:vAlign w:val="bottom"/>
          </w:tcPr>
          <w:p>
            <w:pPr>
              <w:jc w:val="right"/>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7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 in non-current liabilities</w:t>
            </w:r>
          </w:p>
        </w:tc>
        <w:tc>
          <w:tcPr>
            <w:tcW w:w="246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463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1,618</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provided by operations</w:t>
            </w:r>
          </w:p>
        </w:tc>
        <w:tc>
          <w:tcPr>
            <w:tcW w:w="24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236,670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284,190</w:t>
            </w:r>
          </w:p>
        </w:tc>
        <w:tc>
          <w:tcPr>
            <w:tcW w:w="0" w:type="dxa"/>
            <w:vAlign w:val="bottom"/>
          </w:tcPr>
          <w:p>
            <w:pPr>
              <w:spacing w:after="0"/>
              <w:rPr>
                <w:sz w:val="1"/>
                <w:szCs w:val="1"/>
                <w:color w:val="auto"/>
              </w:rPr>
            </w:pPr>
          </w:p>
        </w:tc>
      </w:tr>
      <w:tr>
        <w:trPr>
          <w:trHeight w:val="161"/>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2460" w:type="dxa"/>
            <w:vAlign w:val="bottom"/>
            <w:shd w:val="clear" w:color="auto" w:fill="CCEEFF"/>
          </w:tcPr>
          <w:p>
            <w:pPr>
              <w:spacing w:after="0"/>
              <w:rPr>
                <w:sz w:val="13"/>
                <w:szCs w:val="13"/>
                <w:color w:val="auto"/>
              </w:rPr>
            </w:pPr>
          </w:p>
        </w:tc>
        <w:tc>
          <w:tcPr>
            <w:tcW w:w="19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(18)</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taxes paid</w:t>
            </w:r>
          </w:p>
        </w:tc>
        <w:tc>
          <w:tcPr>
            <w:tcW w:w="2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(563)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inflow from operating activities</w:t>
            </w:r>
          </w:p>
        </w:tc>
        <w:tc>
          <w:tcPr>
            <w:tcW w:w="24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236,089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284,065</w:t>
            </w:r>
          </w:p>
        </w:tc>
        <w:tc>
          <w:tcPr>
            <w:tcW w:w="0" w:type="dxa"/>
            <w:vAlign w:val="bottom"/>
          </w:tcPr>
          <w:p>
            <w:pPr>
              <w:spacing w:after="0"/>
              <w:rPr>
                <w:sz w:val="1"/>
                <w:szCs w:val="1"/>
                <w:color w:val="auto"/>
              </w:rPr>
            </w:pPr>
          </w:p>
        </w:tc>
      </w:tr>
      <w:tr>
        <w:trPr>
          <w:trHeight w:val="160"/>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4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computer software</w:t>
            </w:r>
          </w:p>
        </w:tc>
        <w:tc>
          <w:tcPr>
            <w:tcW w:w="246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w w:val="82"/>
              </w:rPr>
              <w:t>2</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Purchase of property, plant and equipment</w:t>
            </w:r>
          </w:p>
        </w:tc>
        <w:tc>
          <w:tcPr>
            <w:tcW w:w="2460" w:type="dxa"/>
            <w:vAlign w:val="bottom"/>
          </w:tcPr>
          <w:p>
            <w:pPr>
              <w:jc w:val="center"/>
              <w:ind w:left="1576"/>
              <w:spacing w:after="0"/>
              <w:rPr>
                <w:sz w:val="20"/>
                <w:szCs w:val="20"/>
                <w:color w:val="auto"/>
              </w:rPr>
            </w:pPr>
            <w:r>
              <w:rPr>
                <w:rFonts w:ascii="Arial" w:cs="Arial" w:eastAsia="Arial" w:hAnsi="Arial"/>
                <w:sz w:val="13"/>
                <w:szCs w:val="13"/>
                <w:i w:val="1"/>
                <w:iCs w:val="1"/>
                <w:color w:val="auto"/>
                <w:w w:val="82"/>
              </w:rPr>
              <w:t>1</w:t>
            </w:r>
          </w:p>
        </w:tc>
        <w:tc>
          <w:tcPr>
            <w:tcW w:w="1940" w:type="dxa"/>
            <w:vAlign w:val="bottom"/>
          </w:tcPr>
          <w:p>
            <w:pPr>
              <w:jc w:val="right"/>
              <w:ind w:right="416"/>
              <w:spacing w:after="0"/>
              <w:rPr>
                <w:sz w:val="20"/>
                <w:szCs w:val="20"/>
                <w:color w:val="auto"/>
              </w:rPr>
            </w:pPr>
            <w:r>
              <w:rPr>
                <w:rFonts w:ascii="Arial" w:cs="Arial" w:eastAsia="Arial" w:hAnsi="Arial"/>
                <w:sz w:val="13"/>
                <w:szCs w:val="13"/>
                <w:b w:val="1"/>
                <w:bCs w:val="1"/>
                <w:color w:val="auto"/>
              </w:rPr>
              <w:t>(23)</w:t>
            </w:r>
          </w:p>
        </w:tc>
        <w:tc>
          <w:tcPr>
            <w:tcW w:w="1040" w:type="dxa"/>
            <w:vAlign w:val="bottom"/>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 of property, plant and equipment</w:t>
            </w:r>
          </w:p>
        </w:tc>
        <w:tc>
          <w:tcPr>
            <w:tcW w:w="246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w w:val="82"/>
              </w:rPr>
              <w:t>1</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Decrease/ (Increase) in amounts due from/to subsidiary undertakings</w:t>
            </w:r>
          </w:p>
        </w:tc>
        <w:tc>
          <w:tcPr>
            <w:tcW w:w="2460" w:type="dxa"/>
            <w:vAlign w:val="bottom"/>
          </w:tcPr>
          <w:p>
            <w:pPr>
              <w:jc w:val="center"/>
              <w:ind w:left="1576"/>
              <w:spacing w:after="0"/>
              <w:rPr>
                <w:sz w:val="20"/>
                <w:szCs w:val="20"/>
                <w:color w:val="auto"/>
              </w:rPr>
            </w:pPr>
            <w:r>
              <w:rPr>
                <w:rFonts w:ascii="Arial" w:cs="Arial" w:eastAsia="Arial" w:hAnsi="Arial"/>
                <w:sz w:val="13"/>
                <w:szCs w:val="13"/>
                <w:i w:val="1"/>
                <w:iCs w:val="1"/>
                <w:color w:val="auto"/>
                <w:w w:val="82"/>
              </w:rPr>
              <w:t>6</w:t>
            </w: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424,379</w:t>
            </w:r>
          </w:p>
        </w:tc>
        <w:tc>
          <w:tcPr>
            <w:tcW w:w="1040" w:type="dxa"/>
            <w:vAlign w:val="bottom"/>
          </w:tcPr>
          <w:p>
            <w:pPr>
              <w:jc w:val="right"/>
              <w:spacing w:after="0"/>
              <w:rPr>
                <w:sz w:val="20"/>
                <w:szCs w:val="20"/>
                <w:color w:val="auto"/>
              </w:rPr>
            </w:pPr>
            <w:r>
              <w:rPr>
                <w:rFonts w:ascii="Arial" w:cs="Arial" w:eastAsia="Arial" w:hAnsi="Arial"/>
                <w:sz w:val="13"/>
                <w:szCs w:val="13"/>
                <w:color w:val="auto"/>
              </w:rPr>
              <w:t>(77,935)</w:t>
            </w:r>
          </w:p>
        </w:tc>
        <w:tc>
          <w:tcPr>
            <w:tcW w:w="0" w:type="dxa"/>
            <w:vAlign w:val="bottom"/>
          </w:tcPr>
          <w:p>
            <w:pPr>
              <w:spacing w:after="0"/>
              <w:rPr>
                <w:sz w:val="1"/>
                <w:szCs w:val="1"/>
                <w:color w:val="auto"/>
              </w:rPr>
            </w:pPr>
          </w:p>
        </w:tc>
      </w:tr>
      <w:tr>
        <w:trPr>
          <w:trHeight w:val="17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 in investment in subsidiaries</w:t>
            </w:r>
          </w:p>
        </w:tc>
        <w:tc>
          <w:tcPr>
            <w:tcW w:w="2460" w:type="dxa"/>
            <w:vAlign w:val="bottom"/>
            <w:tcBorders>
              <w:bottom w:val="single" w:sz="8" w:color="auto"/>
            </w:tcBorders>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w w:val="82"/>
              </w:rPr>
              <w:t>3</w:t>
            </w:r>
          </w:p>
        </w:tc>
        <w:tc>
          <w:tcPr>
            <w:tcW w:w="19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(365,074)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(2,977)</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cash used by investing activities</w:t>
            </w:r>
          </w:p>
        </w:tc>
        <w:tc>
          <w:tcPr>
            <w:tcW w:w="24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59,282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(81,025)</w:t>
            </w:r>
          </w:p>
        </w:tc>
        <w:tc>
          <w:tcPr>
            <w:tcW w:w="0" w:type="dxa"/>
            <w:vAlign w:val="bottom"/>
          </w:tcPr>
          <w:p>
            <w:pPr>
              <w:spacing w:after="0"/>
              <w:rPr>
                <w:sz w:val="1"/>
                <w:szCs w:val="1"/>
                <w:color w:val="auto"/>
              </w:rPr>
            </w:pPr>
          </w:p>
        </w:tc>
      </w:tr>
      <w:tr>
        <w:trPr>
          <w:trHeight w:val="161"/>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4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Proceeds from exercise of share options</w:t>
            </w:r>
          </w:p>
        </w:tc>
        <w:tc>
          <w:tcPr>
            <w:tcW w:w="246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13,203</w:t>
            </w:r>
          </w:p>
        </w:tc>
        <w:tc>
          <w:tcPr>
            <w:tcW w:w="1040" w:type="dxa"/>
            <w:vAlign w:val="bottom"/>
          </w:tcPr>
          <w:p>
            <w:pPr>
              <w:jc w:val="right"/>
              <w:spacing w:after="0"/>
              <w:rPr>
                <w:sz w:val="20"/>
                <w:szCs w:val="20"/>
                <w:color w:val="auto"/>
              </w:rPr>
            </w:pPr>
            <w:r>
              <w:rPr>
                <w:rFonts w:ascii="Arial" w:cs="Arial" w:eastAsia="Arial" w:hAnsi="Arial"/>
                <w:sz w:val="13"/>
                <w:szCs w:val="13"/>
                <w:color w:val="auto"/>
              </w:rPr>
              <w:t>21,645</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issuance costs</w:t>
            </w:r>
          </w:p>
        </w:tc>
        <w:tc>
          <w:tcPr>
            <w:tcW w:w="246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Payment of lease liabilities</w:t>
            </w:r>
          </w:p>
        </w:tc>
        <w:tc>
          <w:tcPr>
            <w:tcW w:w="2460" w:type="dxa"/>
            <w:vAlign w:val="bottom"/>
          </w:tcPr>
          <w:p>
            <w:pPr>
              <w:spacing w:after="0"/>
              <w:rPr>
                <w:sz w:val="14"/>
                <w:szCs w:val="14"/>
                <w:color w:val="auto"/>
              </w:rPr>
            </w:pPr>
          </w:p>
        </w:tc>
        <w:tc>
          <w:tcPr>
            <w:tcW w:w="1940" w:type="dxa"/>
            <w:vAlign w:val="bottom"/>
          </w:tcPr>
          <w:p>
            <w:pPr>
              <w:jc w:val="right"/>
              <w:ind w:right="416"/>
              <w:spacing w:after="0"/>
              <w:rPr>
                <w:sz w:val="20"/>
                <w:szCs w:val="20"/>
                <w:color w:val="auto"/>
              </w:rPr>
            </w:pPr>
            <w:r>
              <w:rPr>
                <w:rFonts w:ascii="Arial" w:cs="Arial" w:eastAsia="Arial" w:hAnsi="Arial"/>
                <w:sz w:val="13"/>
                <w:szCs w:val="13"/>
                <w:b w:val="1"/>
                <w:bCs w:val="1"/>
                <w:color w:val="auto"/>
              </w:rPr>
              <w:t>(1,519)</w:t>
            </w:r>
          </w:p>
        </w:tc>
        <w:tc>
          <w:tcPr>
            <w:tcW w:w="1040" w:type="dxa"/>
            <w:vAlign w:val="bottom"/>
          </w:tcPr>
          <w:p>
            <w:pPr>
              <w:jc w:val="right"/>
              <w:spacing w:after="0"/>
              <w:rPr>
                <w:sz w:val="20"/>
                <w:szCs w:val="20"/>
                <w:color w:val="auto"/>
              </w:rPr>
            </w:pPr>
            <w:r>
              <w:rPr>
                <w:rFonts w:ascii="Arial" w:cs="Arial" w:eastAsia="Arial" w:hAnsi="Arial"/>
                <w:sz w:val="13"/>
                <w:szCs w:val="13"/>
                <w:color w:val="auto"/>
              </w:rPr>
              <w:t>(1,383)</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ordinary shares</w:t>
            </w:r>
          </w:p>
        </w:tc>
        <w:tc>
          <w:tcPr>
            <w:tcW w:w="246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(175,000)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(146,931)</w:t>
            </w:r>
          </w:p>
        </w:tc>
        <w:tc>
          <w:tcPr>
            <w:tcW w:w="0" w:type="dxa"/>
            <w:vAlign w:val="bottom"/>
          </w:tcPr>
          <w:p>
            <w:pPr>
              <w:spacing w:after="0"/>
              <w:rPr>
                <w:sz w:val="1"/>
                <w:szCs w:val="1"/>
                <w:color w:val="auto"/>
              </w:rPr>
            </w:pPr>
          </w:p>
        </w:tc>
      </w:tr>
      <w:tr>
        <w:trPr>
          <w:trHeight w:val="16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repurchase costs</w:t>
            </w:r>
          </w:p>
        </w:tc>
        <w:tc>
          <w:tcPr>
            <w:tcW w:w="2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(140)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financing activities</w:t>
            </w:r>
          </w:p>
        </w:tc>
        <w:tc>
          <w:tcPr>
            <w:tcW w:w="24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(163,470)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(126,789)</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increase in cash and cash equivalents</w:t>
            </w:r>
          </w:p>
        </w:tc>
        <w:tc>
          <w:tcPr>
            <w:tcW w:w="24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131,901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76,251</w:t>
            </w:r>
          </w:p>
        </w:tc>
        <w:tc>
          <w:tcPr>
            <w:tcW w:w="0" w:type="dxa"/>
            <w:vAlign w:val="bottom"/>
          </w:tcPr>
          <w:p>
            <w:pPr>
              <w:spacing w:after="0"/>
              <w:rPr>
                <w:sz w:val="1"/>
                <w:szCs w:val="1"/>
                <w:color w:val="auto"/>
              </w:rPr>
            </w:pPr>
          </w:p>
        </w:tc>
      </w:tr>
      <w:tr>
        <w:trPr>
          <w:trHeight w:val="161"/>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w:t>
            </w:r>
          </w:p>
        </w:tc>
        <w:tc>
          <w:tcPr>
            <w:tcW w:w="2460" w:type="dxa"/>
            <w:vAlign w:val="bottom"/>
            <w:shd w:val="clear" w:color="auto" w:fill="CCEEFF"/>
          </w:tcPr>
          <w:p>
            <w:pPr>
              <w:spacing w:after="0"/>
              <w:rPr>
                <w:sz w:val="13"/>
                <w:szCs w:val="13"/>
                <w:color w:val="auto"/>
              </w:rPr>
            </w:pP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2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176,299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100,048</w:t>
            </w:r>
          </w:p>
        </w:tc>
        <w:tc>
          <w:tcPr>
            <w:tcW w:w="0" w:type="dxa"/>
            <w:vAlign w:val="bottom"/>
          </w:tcPr>
          <w:p>
            <w:pPr>
              <w:spacing w:after="0"/>
              <w:rPr>
                <w:sz w:val="1"/>
                <w:szCs w:val="1"/>
                <w:color w:val="auto"/>
              </w:rPr>
            </w:pPr>
          </w:p>
        </w:tc>
      </w:tr>
      <w:tr>
        <w:trPr>
          <w:trHeight w:val="162"/>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246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308,200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176,299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80"/>
          </w:cols>
          <w:pgMar w:left="300" w:top="907" w:right="319" w:bottom="1440" w:gutter="0" w:footer="0" w:header="0"/>
        </w:sectPr>
      </w:pPr>
    </w:p>
    <w:bookmarkStart w:id="150" w:name="page151"/>
    <w:bookmarkEnd w:id="150"/>
    <w:p>
      <w:pPr>
        <w:ind w:left="80"/>
        <w:spacing w:after="0"/>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3"/>
          <w:szCs w:val="13"/>
          <w:b w:val="1"/>
          <w:bCs w:val="1"/>
          <w:color w:val="auto"/>
        </w:rPr>
        <w:t>1.</w:t>
      </w:r>
      <w:r>
        <w:rPr>
          <w:sz w:val="20"/>
          <w:szCs w:val="20"/>
          <w:color w:val="auto"/>
        </w:rPr>
        <w:tab/>
      </w:r>
      <w:r>
        <w:rPr>
          <w:rFonts w:ascii="Arial" w:cs="Arial" w:eastAsia="Arial" w:hAnsi="Arial"/>
          <w:sz w:val="12"/>
          <w:szCs w:val="12"/>
          <w:b w:val="1"/>
          <w:bCs w:val="1"/>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3040" w:type="dxa"/>
            <w:vAlign w:val="bottom"/>
            <w:tcBorders>
              <w:bottom w:val="single" w:sz="8" w:color="auto"/>
            </w:tcBorders>
            <w:shd w:val="clear" w:color="auto" w:fill="CCEEFF"/>
          </w:tcPr>
          <w:p>
            <w:pPr>
              <w:spacing w:after="0"/>
              <w:rPr>
                <w:sz w:val="14"/>
                <w:szCs w:val="14"/>
                <w:color w:val="auto"/>
              </w:rPr>
            </w:pPr>
          </w:p>
        </w:tc>
        <w:tc>
          <w:tcPr>
            <w:tcW w:w="33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Leasehold improvements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Computer equipment</w:t>
            </w:r>
          </w:p>
        </w:tc>
        <w:tc>
          <w:tcPr>
            <w:tcW w:w="21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Office furniture &amp; fixtures</w:t>
            </w:r>
          </w:p>
        </w:tc>
        <w:tc>
          <w:tcPr>
            <w:tcW w:w="920" w:type="dxa"/>
            <w:vAlign w:val="bottom"/>
            <w:tcBorders>
              <w:bottom w:val="single" w:sz="8" w:color="auto"/>
            </w:tcBorders>
            <w:shd w:val="clear" w:color="auto" w:fill="CCEEFF"/>
          </w:tcPr>
          <w:p>
            <w:pPr>
              <w:jc w:val="center"/>
              <w:ind w:left="556"/>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38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center"/>
              <w:ind w:left="536"/>
              <w:spacing w:after="0"/>
              <w:rPr>
                <w:sz w:val="20"/>
                <w:szCs w:val="20"/>
                <w:color w:val="auto"/>
              </w:rPr>
            </w:pPr>
            <w:r>
              <w:rPr>
                <w:rFonts w:ascii="Arial" w:cs="Arial" w:eastAsia="Arial" w:hAnsi="Arial"/>
                <w:sz w:val="13"/>
                <w:szCs w:val="13"/>
                <w:b w:val="1"/>
                <w:bCs w:val="1"/>
                <w:color w:val="auto"/>
                <w:w w:val="98"/>
              </w:rPr>
              <w:t>$’000</w:t>
            </w:r>
          </w:p>
        </w:tc>
        <w:tc>
          <w:tcPr>
            <w:tcW w:w="0" w:type="dxa"/>
            <w:vAlign w:val="bottom"/>
          </w:tcPr>
          <w:p>
            <w:pPr>
              <w:spacing w:after="0"/>
              <w:rPr>
                <w:sz w:val="1"/>
                <w:szCs w:val="1"/>
                <w:color w:val="auto"/>
              </w:rPr>
            </w:pPr>
          </w:p>
        </w:tc>
      </w:tr>
      <w:tr>
        <w:trPr>
          <w:trHeight w:val="169"/>
        </w:trPr>
        <w:tc>
          <w:tcPr>
            <w:tcW w:w="3120" w:type="dxa"/>
            <w:vAlign w:val="bottom"/>
            <w:gridSpan w:val="2"/>
          </w:tcPr>
          <w:p>
            <w:pPr>
              <w:ind w:left="20"/>
              <w:spacing w:after="0"/>
              <w:rPr>
                <w:sz w:val="20"/>
                <w:szCs w:val="20"/>
                <w:color w:val="auto"/>
              </w:rPr>
            </w:pPr>
            <w:r>
              <w:rPr>
                <w:rFonts w:ascii="Arial" w:cs="Arial" w:eastAsia="Arial" w:hAnsi="Arial"/>
                <w:sz w:val="13"/>
                <w:szCs w:val="13"/>
                <w:b w:val="1"/>
                <w:bCs w:val="1"/>
                <w:color w:val="auto"/>
              </w:rPr>
              <w:t>st</w:t>
            </w: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20" w:type="dxa"/>
            <w:vAlign w:val="bottom"/>
            <w:gridSpan w:val="2"/>
          </w:tcPr>
          <w:p>
            <w:pPr>
              <w:spacing w:after="0"/>
              <w:rPr>
                <w:sz w:val="20"/>
                <w:szCs w:val="20"/>
                <w:color w:val="auto"/>
              </w:rPr>
            </w:pPr>
            <w:r>
              <w:rPr>
                <w:rFonts w:ascii="Arial" w:cs="Arial" w:eastAsia="Arial" w:hAnsi="Arial"/>
                <w:sz w:val="13"/>
                <w:szCs w:val="13"/>
                <w:color w:val="auto"/>
              </w:rPr>
              <w:t>1 January 2020</w:t>
            </w:r>
          </w:p>
        </w:tc>
        <w:tc>
          <w:tcPr>
            <w:tcW w:w="3380" w:type="dxa"/>
            <w:vAlign w:val="bottom"/>
          </w:tcPr>
          <w:p>
            <w:pPr>
              <w:jc w:val="right"/>
              <w:ind w:right="136"/>
              <w:spacing w:after="0"/>
              <w:rPr>
                <w:sz w:val="20"/>
                <w:szCs w:val="20"/>
                <w:color w:val="auto"/>
              </w:rPr>
            </w:pPr>
            <w:r>
              <w:rPr>
                <w:rFonts w:ascii="Arial" w:cs="Arial" w:eastAsia="Arial" w:hAnsi="Arial"/>
                <w:sz w:val="13"/>
                <w:szCs w:val="13"/>
                <w:color w:val="auto"/>
              </w:rPr>
              <w:t>980</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1,920</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1,783</w:t>
            </w:r>
          </w:p>
        </w:tc>
        <w:tc>
          <w:tcPr>
            <w:tcW w:w="920" w:type="dxa"/>
            <w:vAlign w:val="bottom"/>
          </w:tcPr>
          <w:p>
            <w:pPr>
              <w:jc w:val="right"/>
              <w:spacing w:after="0"/>
              <w:rPr>
                <w:sz w:val="20"/>
                <w:szCs w:val="20"/>
                <w:color w:val="auto"/>
              </w:rPr>
            </w:pPr>
            <w:r>
              <w:rPr>
                <w:rFonts w:ascii="Arial" w:cs="Arial" w:eastAsia="Arial" w:hAnsi="Arial"/>
                <w:sz w:val="13"/>
                <w:szCs w:val="13"/>
                <w:color w:val="auto"/>
              </w:rPr>
              <w:t>4,683</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ditions</w:t>
            </w:r>
          </w:p>
        </w:tc>
        <w:tc>
          <w:tcPr>
            <w:tcW w:w="33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w:t>
            </w:r>
          </w:p>
        </w:tc>
        <w:tc>
          <w:tcPr>
            <w:tcW w:w="21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13</w:t>
            </w:r>
          </w:p>
        </w:tc>
        <w:tc>
          <w:tcPr>
            <w:tcW w:w="920" w:type="dxa"/>
            <w:vAlign w:val="bottom"/>
            <w:shd w:val="clear" w:color="auto" w:fill="CCEEFF"/>
          </w:tcPr>
          <w:p>
            <w:pPr>
              <w:jc w:val="center"/>
              <w:ind w:left="576"/>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8"/>
        </w:trPr>
        <w:tc>
          <w:tcPr>
            <w:tcW w:w="3120" w:type="dxa"/>
            <w:vAlign w:val="bottom"/>
            <w:gridSpan w:val="2"/>
          </w:tcPr>
          <w:p>
            <w:pPr>
              <w:spacing w:after="0"/>
              <w:rPr>
                <w:sz w:val="20"/>
                <w:szCs w:val="20"/>
                <w:color w:val="auto"/>
              </w:rPr>
            </w:pPr>
            <w:r>
              <w:rPr>
                <w:rFonts w:ascii="Arial" w:cs="Arial" w:eastAsia="Arial" w:hAnsi="Arial"/>
                <w:sz w:val="13"/>
                <w:szCs w:val="13"/>
                <w:color w:val="auto"/>
              </w:rPr>
              <w:t>reign currency movement</w:t>
            </w:r>
          </w:p>
        </w:tc>
        <w:tc>
          <w:tcPr>
            <w:tcW w:w="3380" w:type="dxa"/>
            <w:vAlign w:val="bottom"/>
          </w:tcPr>
          <w:p>
            <w:pPr>
              <w:jc w:val="right"/>
              <w:ind w:right="136"/>
              <w:spacing w:after="0"/>
              <w:rPr>
                <w:sz w:val="20"/>
                <w:szCs w:val="20"/>
                <w:color w:val="auto"/>
              </w:rPr>
            </w:pPr>
            <w:r>
              <w:rPr>
                <w:rFonts w:ascii="Arial" w:cs="Arial" w:eastAsia="Arial" w:hAnsi="Arial"/>
                <w:sz w:val="13"/>
                <w:szCs w:val="13"/>
                <w:color w:val="auto"/>
              </w:rPr>
              <w:t>59</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124</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114</w:t>
            </w:r>
          </w:p>
        </w:tc>
        <w:tc>
          <w:tcPr>
            <w:tcW w:w="920" w:type="dxa"/>
            <w:vAlign w:val="bottom"/>
          </w:tcPr>
          <w:p>
            <w:pPr>
              <w:jc w:val="right"/>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040" w:type="dxa"/>
            <w:vAlign w:val="bottom"/>
            <w:tcBorders>
              <w:top w:val="single" w:sz="8" w:color="auto"/>
            </w:tcBorders>
            <w:shd w:val="clear" w:color="auto" w:fill="CCEEFF"/>
          </w:tcPr>
          <w:p>
            <w:pPr>
              <w:spacing w:after="0"/>
              <w:rPr>
                <w:sz w:val="13"/>
                <w:szCs w:val="13"/>
                <w:color w:val="auto"/>
              </w:rPr>
            </w:pPr>
          </w:p>
        </w:tc>
        <w:tc>
          <w:tcPr>
            <w:tcW w:w="338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2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2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3380" w:type="dxa"/>
            <w:vAlign w:val="bottom"/>
          </w:tcPr>
          <w:p>
            <w:pPr>
              <w:jc w:val="right"/>
              <w:ind w:right="136"/>
              <w:spacing w:after="0"/>
              <w:rPr>
                <w:sz w:val="20"/>
                <w:szCs w:val="20"/>
                <w:color w:val="auto"/>
              </w:rPr>
            </w:pPr>
            <w:r>
              <w:rPr>
                <w:rFonts w:ascii="Arial" w:cs="Arial" w:eastAsia="Arial" w:hAnsi="Arial"/>
                <w:sz w:val="13"/>
                <w:szCs w:val="13"/>
                <w:b w:val="1"/>
                <w:bCs w:val="1"/>
                <w:color w:val="auto"/>
              </w:rPr>
              <w:t>1,039</w:t>
            </w:r>
          </w:p>
        </w:tc>
        <w:tc>
          <w:tcPr>
            <w:tcW w:w="1500" w:type="dxa"/>
            <w:vAlign w:val="bottom"/>
          </w:tcPr>
          <w:p>
            <w:pPr>
              <w:jc w:val="right"/>
              <w:ind w:right="36"/>
              <w:spacing w:after="0"/>
              <w:rPr>
                <w:sz w:val="20"/>
                <w:szCs w:val="20"/>
                <w:color w:val="auto"/>
              </w:rPr>
            </w:pPr>
            <w:r>
              <w:rPr>
                <w:rFonts w:ascii="Arial" w:cs="Arial" w:eastAsia="Arial" w:hAnsi="Arial"/>
                <w:sz w:val="13"/>
                <w:szCs w:val="13"/>
                <w:b w:val="1"/>
                <w:bCs w:val="1"/>
                <w:color w:val="auto"/>
              </w:rPr>
              <w:t>2,054</w:t>
            </w:r>
          </w:p>
        </w:tc>
        <w:tc>
          <w:tcPr>
            <w:tcW w:w="2180" w:type="dxa"/>
            <w:vAlign w:val="bottom"/>
          </w:tcPr>
          <w:p>
            <w:pPr>
              <w:jc w:val="right"/>
              <w:ind w:right="536"/>
              <w:spacing w:after="0"/>
              <w:rPr>
                <w:sz w:val="20"/>
                <w:szCs w:val="20"/>
                <w:color w:val="auto"/>
              </w:rPr>
            </w:pPr>
            <w:r>
              <w:rPr>
                <w:rFonts w:ascii="Arial" w:cs="Arial" w:eastAsia="Arial" w:hAnsi="Arial"/>
                <w:sz w:val="13"/>
                <w:szCs w:val="13"/>
                <w:b w:val="1"/>
                <w:bCs w:val="1"/>
                <w:color w:val="auto"/>
              </w:rPr>
              <w:t>1,910</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5,003</w:t>
            </w:r>
          </w:p>
        </w:tc>
        <w:tc>
          <w:tcPr>
            <w:tcW w:w="0" w:type="dxa"/>
            <w:vAlign w:val="bottom"/>
          </w:tcPr>
          <w:p>
            <w:pPr>
              <w:spacing w:after="0"/>
              <w:rPr>
                <w:sz w:val="1"/>
                <w:szCs w:val="1"/>
                <w:color w:val="auto"/>
              </w:rPr>
            </w:pPr>
          </w:p>
        </w:tc>
      </w:tr>
      <w:tr>
        <w:trPr>
          <w:trHeight w:val="150"/>
        </w:trPr>
        <w:tc>
          <w:tcPr>
            <w:tcW w:w="80" w:type="dxa"/>
            <w:vAlign w:val="bottom"/>
            <w:vMerge w:val="restart"/>
          </w:tcPr>
          <w:p>
            <w:pPr>
              <w:spacing w:after="0"/>
              <w:rPr>
                <w:sz w:val="13"/>
                <w:szCs w:val="13"/>
                <w:color w:val="auto"/>
              </w:rPr>
            </w:pPr>
          </w:p>
        </w:tc>
        <w:tc>
          <w:tcPr>
            <w:tcW w:w="3040" w:type="dxa"/>
            <w:vAlign w:val="bottom"/>
            <w:tcBorders>
              <w:top w:val="single" w:sz="8" w:color="auto"/>
            </w:tcBorders>
            <w:shd w:val="clear" w:color="auto" w:fill="CCEEFF"/>
          </w:tcPr>
          <w:p>
            <w:pPr>
              <w:spacing w:after="0"/>
              <w:rPr>
                <w:sz w:val="13"/>
                <w:szCs w:val="13"/>
                <w:color w:val="auto"/>
              </w:rPr>
            </w:pPr>
          </w:p>
        </w:tc>
        <w:tc>
          <w:tcPr>
            <w:tcW w:w="338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2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vMerge w:val="continue"/>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b w:val="1"/>
                <w:bCs w:val="1"/>
                <w:color w:val="auto"/>
              </w:rPr>
              <w:t>preciation</w:t>
            </w: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20"/>
                <w:szCs w:val="20"/>
                <w:color w:val="auto"/>
              </w:rPr>
            </w:pPr>
            <w:r>
              <w:rPr>
                <w:rFonts w:ascii="Arial" w:cs="Arial" w:eastAsia="Arial" w:hAnsi="Arial"/>
                <w:sz w:val="13"/>
                <w:szCs w:val="13"/>
                <w:color w:val="auto"/>
                <w:w w:val="82"/>
              </w:rPr>
              <w:t>1</w:t>
            </w: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January 2020</w:t>
            </w:r>
          </w:p>
        </w:tc>
        <w:tc>
          <w:tcPr>
            <w:tcW w:w="33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958</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1,841</w:t>
            </w:r>
          </w:p>
        </w:tc>
        <w:tc>
          <w:tcPr>
            <w:tcW w:w="21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1,275</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4,074</w:t>
            </w:r>
          </w:p>
        </w:tc>
        <w:tc>
          <w:tcPr>
            <w:tcW w:w="0" w:type="dxa"/>
            <w:vAlign w:val="bottom"/>
          </w:tcPr>
          <w:p>
            <w:pPr>
              <w:spacing w:after="0"/>
              <w:rPr>
                <w:sz w:val="1"/>
                <w:szCs w:val="1"/>
                <w:color w:val="auto"/>
              </w:rPr>
            </w:pPr>
          </w:p>
        </w:tc>
      </w:tr>
      <w:tr>
        <w:trPr>
          <w:trHeight w:val="165"/>
        </w:trPr>
        <w:tc>
          <w:tcPr>
            <w:tcW w:w="3120" w:type="dxa"/>
            <w:vAlign w:val="bottom"/>
            <w:gridSpan w:val="2"/>
          </w:tcPr>
          <w:p>
            <w:pPr>
              <w:spacing w:after="0"/>
              <w:rPr>
                <w:sz w:val="20"/>
                <w:szCs w:val="20"/>
                <w:color w:val="auto"/>
              </w:rPr>
            </w:pPr>
            <w:r>
              <w:rPr>
                <w:rFonts w:ascii="Arial" w:cs="Arial" w:eastAsia="Arial" w:hAnsi="Arial"/>
                <w:sz w:val="13"/>
                <w:szCs w:val="13"/>
                <w:color w:val="auto"/>
              </w:rPr>
              <w:t>arge for the year</w:t>
            </w:r>
          </w:p>
        </w:tc>
        <w:tc>
          <w:tcPr>
            <w:tcW w:w="3380" w:type="dxa"/>
            <w:vAlign w:val="bottom"/>
          </w:tcPr>
          <w:p>
            <w:pPr>
              <w:jc w:val="right"/>
              <w:ind w:right="136"/>
              <w:spacing w:after="0"/>
              <w:rPr>
                <w:sz w:val="20"/>
                <w:szCs w:val="20"/>
                <w:color w:val="auto"/>
              </w:rPr>
            </w:pPr>
            <w:r>
              <w:rPr>
                <w:rFonts w:ascii="Arial" w:cs="Arial" w:eastAsia="Arial" w:hAnsi="Arial"/>
                <w:sz w:val="13"/>
                <w:szCs w:val="13"/>
                <w:color w:val="auto"/>
              </w:rPr>
              <w:t>15</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34</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88</w:t>
            </w:r>
          </w:p>
        </w:tc>
        <w:tc>
          <w:tcPr>
            <w:tcW w:w="920" w:type="dxa"/>
            <w:vAlign w:val="bottom"/>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Arial" w:cs="Arial" w:eastAsia="Arial" w:hAnsi="Arial"/>
                <w:sz w:val="13"/>
                <w:szCs w:val="13"/>
                <w:color w:val="auto"/>
              </w:rPr>
              <w:t>reign currency movement</w:t>
            </w:r>
          </w:p>
        </w:tc>
        <w:tc>
          <w:tcPr>
            <w:tcW w:w="3380" w:type="dxa"/>
            <w:vAlign w:val="bottom"/>
          </w:tcPr>
          <w:p>
            <w:pPr>
              <w:jc w:val="right"/>
              <w:ind w:right="136"/>
              <w:spacing w:after="0"/>
              <w:rPr>
                <w:sz w:val="20"/>
                <w:szCs w:val="20"/>
                <w:color w:val="auto"/>
              </w:rPr>
            </w:pPr>
            <w:r>
              <w:rPr>
                <w:rFonts w:ascii="Arial" w:cs="Arial" w:eastAsia="Arial" w:hAnsi="Arial"/>
                <w:sz w:val="13"/>
                <w:szCs w:val="13"/>
                <w:color w:val="auto"/>
              </w:rPr>
              <w:t>58</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121</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92</w:t>
            </w:r>
          </w:p>
        </w:tc>
        <w:tc>
          <w:tcPr>
            <w:tcW w:w="920" w:type="dxa"/>
            <w:vAlign w:val="bottom"/>
          </w:tcPr>
          <w:p>
            <w:pPr>
              <w:jc w:val="right"/>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12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3380" w:type="dxa"/>
            <w:vAlign w:val="bottom"/>
          </w:tcPr>
          <w:p>
            <w:pPr>
              <w:jc w:val="right"/>
              <w:ind w:right="136"/>
              <w:spacing w:after="0"/>
              <w:rPr>
                <w:sz w:val="20"/>
                <w:szCs w:val="20"/>
                <w:color w:val="auto"/>
              </w:rPr>
            </w:pPr>
            <w:r>
              <w:rPr>
                <w:rFonts w:ascii="Arial" w:cs="Arial" w:eastAsia="Arial" w:hAnsi="Arial"/>
                <w:sz w:val="13"/>
                <w:szCs w:val="13"/>
                <w:b w:val="1"/>
                <w:bCs w:val="1"/>
                <w:color w:val="auto"/>
              </w:rPr>
              <w:t>1,031</w:t>
            </w:r>
          </w:p>
        </w:tc>
        <w:tc>
          <w:tcPr>
            <w:tcW w:w="1500" w:type="dxa"/>
            <w:vAlign w:val="bottom"/>
          </w:tcPr>
          <w:p>
            <w:pPr>
              <w:jc w:val="right"/>
              <w:ind w:right="36"/>
              <w:spacing w:after="0"/>
              <w:rPr>
                <w:sz w:val="20"/>
                <w:szCs w:val="20"/>
                <w:color w:val="auto"/>
              </w:rPr>
            </w:pPr>
            <w:r>
              <w:rPr>
                <w:rFonts w:ascii="Arial" w:cs="Arial" w:eastAsia="Arial" w:hAnsi="Arial"/>
                <w:sz w:val="13"/>
                <w:szCs w:val="13"/>
                <w:b w:val="1"/>
                <w:bCs w:val="1"/>
                <w:color w:val="auto"/>
              </w:rPr>
              <w:t>1,996</w:t>
            </w:r>
          </w:p>
        </w:tc>
        <w:tc>
          <w:tcPr>
            <w:tcW w:w="2180" w:type="dxa"/>
            <w:vAlign w:val="bottom"/>
          </w:tcPr>
          <w:p>
            <w:pPr>
              <w:jc w:val="right"/>
              <w:ind w:right="536"/>
              <w:spacing w:after="0"/>
              <w:rPr>
                <w:sz w:val="20"/>
                <w:szCs w:val="20"/>
                <w:color w:val="auto"/>
              </w:rPr>
            </w:pPr>
            <w:r>
              <w:rPr>
                <w:rFonts w:ascii="Arial" w:cs="Arial" w:eastAsia="Arial" w:hAnsi="Arial"/>
                <w:sz w:val="13"/>
                <w:szCs w:val="13"/>
                <w:b w:val="1"/>
                <w:bCs w:val="1"/>
                <w:color w:val="auto"/>
              </w:rPr>
              <w:t>1,455</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4,482</w:t>
            </w:r>
          </w:p>
        </w:tc>
        <w:tc>
          <w:tcPr>
            <w:tcW w:w="0" w:type="dxa"/>
            <w:vAlign w:val="bottom"/>
          </w:tcPr>
          <w:p>
            <w:pPr>
              <w:spacing w:after="0"/>
              <w:rPr>
                <w:sz w:val="1"/>
                <w:szCs w:val="1"/>
                <w:color w:val="auto"/>
              </w:rPr>
            </w:pPr>
          </w:p>
        </w:tc>
      </w:tr>
      <w:tr>
        <w:trPr>
          <w:trHeight w:val="152"/>
        </w:trPr>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rPr>
              <w:t>t</w:t>
            </w:r>
          </w:p>
        </w:tc>
        <w:tc>
          <w:tcPr>
            <w:tcW w:w="3040" w:type="dxa"/>
            <w:vAlign w:val="bottom"/>
            <w:tcBorders>
              <w:top w:val="single" w:sz="8" w:color="auto"/>
            </w:tcBorders>
          </w:tcPr>
          <w:p>
            <w:pPr>
              <w:spacing w:after="0"/>
              <w:rPr>
                <w:sz w:val="13"/>
                <w:szCs w:val="13"/>
                <w:color w:val="auto"/>
              </w:rPr>
            </w:pPr>
          </w:p>
        </w:tc>
        <w:tc>
          <w:tcPr>
            <w:tcW w:w="33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 w:type="dxa"/>
            <w:vAlign w:val="bottom"/>
            <w:vMerge w:val="continue"/>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book value</w:t>
            </w:r>
          </w:p>
        </w:tc>
        <w:tc>
          <w:tcPr>
            <w:tcW w:w="33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2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3380" w:type="dxa"/>
            <w:vAlign w:val="bottom"/>
          </w:tcPr>
          <w:p>
            <w:pPr>
              <w:jc w:val="right"/>
              <w:ind w:right="136"/>
              <w:spacing w:after="0"/>
              <w:rPr>
                <w:sz w:val="20"/>
                <w:szCs w:val="20"/>
                <w:color w:val="auto"/>
              </w:rPr>
            </w:pPr>
            <w:r>
              <w:rPr>
                <w:rFonts w:ascii="Arial" w:cs="Arial" w:eastAsia="Arial" w:hAnsi="Arial"/>
                <w:sz w:val="13"/>
                <w:szCs w:val="13"/>
                <w:b w:val="1"/>
                <w:bCs w:val="1"/>
                <w:color w:val="auto"/>
              </w:rPr>
              <w:t>8</w:t>
            </w:r>
          </w:p>
        </w:tc>
        <w:tc>
          <w:tcPr>
            <w:tcW w:w="1500" w:type="dxa"/>
            <w:vAlign w:val="bottom"/>
          </w:tcPr>
          <w:p>
            <w:pPr>
              <w:jc w:val="right"/>
              <w:ind w:right="36"/>
              <w:spacing w:after="0"/>
              <w:rPr>
                <w:sz w:val="20"/>
                <w:szCs w:val="20"/>
                <w:color w:val="auto"/>
              </w:rPr>
            </w:pPr>
            <w:r>
              <w:rPr>
                <w:rFonts w:ascii="Arial" w:cs="Arial" w:eastAsia="Arial" w:hAnsi="Arial"/>
                <w:sz w:val="13"/>
                <w:szCs w:val="13"/>
                <w:b w:val="1"/>
                <w:bCs w:val="1"/>
                <w:color w:val="auto"/>
              </w:rPr>
              <w:t>58</w:t>
            </w:r>
          </w:p>
        </w:tc>
        <w:tc>
          <w:tcPr>
            <w:tcW w:w="2180" w:type="dxa"/>
            <w:vAlign w:val="bottom"/>
          </w:tcPr>
          <w:p>
            <w:pPr>
              <w:jc w:val="right"/>
              <w:ind w:right="536"/>
              <w:spacing w:after="0"/>
              <w:rPr>
                <w:sz w:val="20"/>
                <w:szCs w:val="20"/>
                <w:color w:val="auto"/>
              </w:rPr>
            </w:pPr>
            <w:r>
              <w:rPr>
                <w:rFonts w:ascii="Arial" w:cs="Arial" w:eastAsia="Arial" w:hAnsi="Arial"/>
                <w:sz w:val="13"/>
                <w:szCs w:val="13"/>
                <w:b w:val="1"/>
                <w:bCs w:val="1"/>
                <w:color w:val="auto"/>
              </w:rPr>
              <w:t>455</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521</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040" w:type="dxa"/>
            <w:vAlign w:val="bottom"/>
            <w:tcBorders>
              <w:top w:val="single" w:sz="8" w:color="auto"/>
            </w:tcBorders>
            <w:shd w:val="clear" w:color="auto" w:fill="CCEEFF"/>
          </w:tcPr>
          <w:p>
            <w:pPr>
              <w:spacing w:after="0"/>
              <w:rPr>
                <w:sz w:val="13"/>
                <w:szCs w:val="13"/>
                <w:color w:val="auto"/>
              </w:rPr>
            </w:pPr>
          </w:p>
        </w:tc>
        <w:tc>
          <w:tcPr>
            <w:tcW w:w="338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2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20" w:type="dxa"/>
            <w:vAlign w:val="bottom"/>
            <w:gridSpan w:val="2"/>
          </w:tcPr>
          <w:p>
            <w:pPr>
              <w:spacing w:after="0"/>
              <w:rPr>
                <w:sz w:val="20"/>
                <w:szCs w:val="20"/>
                <w:color w:val="auto"/>
              </w:rPr>
            </w:pPr>
            <w:r>
              <w:rPr>
                <w:rFonts w:ascii="Arial" w:cs="Arial" w:eastAsia="Arial" w:hAnsi="Arial"/>
                <w:sz w:val="13"/>
                <w:szCs w:val="13"/>
                <w:color w:val="auto"/>
              </w:rPr>
              <w:t>31 December 2019</w:t>
            </w:r>
          </w:p>
        </w:tc>
        <w:tc>
          <w:tcPr>
            <w:tcW w:w="3380" w:type="dxa"/>
            <w:vAlign w:val="bottom"/>
          </w:tcPr>
          <w:p>
            <w:pPr>
              <w:jc w:val="right"/>
              <w:ind w:right="136"/>
              <w:spacing w:after="0"/>
              <w:rPr>
                <w:sz w:val="20"/>
                <w:szCs w:val="20"/>
                <w:color w:val="auto"/>
              </w:rPr>
            </w:pPr>
            <w:r>
              <w:rPr>
                <w:rFonts w:ascii="Arial" w:cs="Arial" w:eastAsia="Arial" w:hAnsi="Arial"/>
                <w:sz w:val="13"/>
                <w:szCs w:val="13"/>
                <w:color w:val="auto"/>
              </w:rPr>
              <w:t>22</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79</w:t>
            </w:r>
          </w:p>
        </w:tc>
        <w:tc>
          <w:tcPr>
            <w:tcW w:w="2180" w:type="dxa"/>
            <w:vAlign w:val="bottom"/>
          </w:tcPr>
          <w:p>
            <w:pPr>
              <w:jc w:val="right"/>
              <w:ind w:right="536"/>
              <w:spacing w:after="0"/>
              <w:rPr>
                <w:sz w:val="20"/>
                <w:szCs w:val="20"/>
                <w:color w:val="auto"/>
              </w:rPr>
            </w:pPr>
            <w:r>
              <w:rPr>
                <w:rFonts w:ascii="Arial" w:cs="Arial" w:eastAsia="Arial" w:hAnsi="Arial"/>
                <w:sz w:val="13"/>
                <w:szCs w:val="13"/>
                <w:color w:val="auto"/>
              </w:rPr>
              <w:t>508</w:t>
            </w:r>
          </w:p>
        </w:tc>
        <w:tc>
          <w:tcPr>
            <w:tcW w:w="920" w:type="dxa"/>
            <w:vAlign w:val="bottom"/>
          </w:tcPr>
          <w:p>
            <w:pPr>
              <w:jc w:val="right"/>
              <w:spacing w:after="0"/>
              <w:rPr>
                <w:sz w:val="20"/>
                <w:szCs w:val="20"/>
                <w:color w:val="auto"/>
              </w:rPr>
            </w:pPr>
            <w:r>
              <w:rPr>
                <w:rFonts w:ascii="Arial" w:cs="Arial" w:eastAsia="Arial" w:hAnsi="Arial"/>
                <w:sz w:val="13"/>
                <w:szCs w:val="13"/>
                <w:color w:val="auto"/>
              </w:rPr>
              <w:t>609</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040" w:type="dxa"/>
            <w:vAlign w:val="bottom"/>
            <w:shd w:val="clear" w:color="auto" w:fill="000000"/>
          </w:tcPr>
          <w:p>
            <w:pPr>
              <w:spacing w:after="0"/>
              <w:rPr>
                <w:sz w:val="2"/>
                <w:szCs w:val="2"/>
                <w:color w:val="auto"/>
              </w:rPr>
            </w:pPr>
          </w:p>
        </w:tc>
        <w:tc>
          <w:tcPr>
            <w:tcW w:w="33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-1959610</wp:posOffset>
            </wp:positionV>
            <wp:extent cx="7000240" cy="107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-882015</wp:posOffset>
            </wp:positionV>
            <wp:extent cx="7000240" cy="107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-666115</wp:posOffset>
            </wp:positionV>
            <wp:extent cx="7000240" cy="107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0240" cy="107950"/>
                    </a:xfrm>
                    <a:prstGeom prst="rect">
                      <a:avLst/>
                    </a:prstGeom>
                    <a:noFill/>
                  </pic:spPr>
                </pic:pic>
              </a:graphicData>
            </a:graphic>
          </wp:anchor>
        </w:drawing>
      </w:r>
    </w:p>
    <w:p>
      <w:pPr>
        <w:spacing w:after="0" w:line="6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240" w:type="dxa"/>
            <w:vAlign w:val="bottom"/>
            <w:tcBorders>
              <w:bottom w:val="single" w:sz="8" w:color="auto"/>
            </w:tcBorders>
            <w:shd w:val="clear" w:color="auto" w:fill="CCEEFF"/>
          </w:tcPr>
          <w:p>
            <w:pPr>
              <w:spacing w:after="0"/>
              <w:rPr>
                <w:sz w:val="14"/>
                <w:szCs w:val="14"/>
                <w:color w:val="auto"/>
              </w:rPr>
            </w:pPr>
          </w:p>
        </w:tc>
        <w:tc>
          <w:tcPr>
            <w:tcW w:w="3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Leasehold improvements</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 equipment</w:t>
            </w:r>
          </w:p>
        </w:tc>
        <w:tc>
          <w:tcPr>
            <w:tcW w:w="22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Office furniture &amp; fixtures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3240" w:type="dxa"/>
            <w:vAlign w:val="bottom"/>
          </w:tcPr>
          <w:p>
            <w:pPr>
              <w:spacing w:after="0"/>
              <w:rPr>
                <w:sz w:val="13"/>
                <w:szCs w:val="13"/>
                <w:color w:val="auto"/>
              </w:rPr>
            </w:pPr>
          </w:p>
        </w:tc>
        <w:tc>
          <w:tcPr>
            <w:tcW w:w="334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5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220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33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At 1 January 2019</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990</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1,933</w:t>
            </w:r>
          </w:p>
        </w:tc>
        <w:tc>
          <w:tcPr>
            <w:tcW w:w="2200" w:type="dxa"/>
            <w:vAlign w:val="bottom"/>
          </w:tcPr>
          <w:p>
            <w:pPr>
              <w:jc w:val="right"/>
              <w:ind w:right="556"/>
              <w:spacing w:after="0"/>
              <w:rPr>
                <w:sz w:val="20"/>
                <w:szCs w:val="20"/>
                <w:color w:val="auto"/>
              </w:rPr>
            </w:pPr>
            <w:r>
              <w:rPr>
                <w:rFonts w:ascii="Arial" w:cs="Arial" w:eastAsia="Arial" w:hAnsi="Arial"/>
                <w:sz w:val="13"/>
                <w:szCs w:val="13"/>
                <w:color w:val="auto"/>
              </w:rPr>
              <w:t>1,743</w:t>
            </w:r>
          </w:p>
        </w:tc>
        <w:tc>
          <w:tcPr>
            <w:tcW w:w="960" w:type="dxa"/>
            <w:vAlign w:val="bottom"/>
          </w:tcPr>
          <w:p>
            <w:pPr>
              <w:jc w:val="right"/>
              <w:spacing w:after="0"/>
              <w:rPr>
                <w:sz w:val="20"/>
                <w:szCs w:val="20"/>
                <w:color w:val="auto"/>
              </w:rPr>
            </w:pPr>
            <w:r>
              <w:rPr>
                <w:rFonts w:ascii="Arial" w:cs="Arial" w:eastAsia="Arial" w:hAnsi="Arial"/>
                <w:sz w:val="13"/>
                <w:szCs w:val="13"/>
                <w:color w:val="auto"/>
              </w:rPr>
              <w:t>4,666</w:t>
            </w:r>
          </w:p>
        </w:tc>
      </w:tr>
      <w:tr>
        <w:trPr>
          <w:trHeight w:val="172"/>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w:t>
            </w: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w:t>
            </w:r>
          </w:p>
        </w:tc>
        <w:tc>
          <w:tcPr>
            <w:tcW w:w="220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154</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192</w:t>
            </w: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Disposals</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200" w:type="dxa"/>
            <w:vAlign w:val="bottom"/>
          </w:tcPr>
          <w:p>
            <w:pPr>
              <w:jc w:val="right"/>
              <w:ind w:right="516"/>
              <w:spacing w:after="0"/>
              <w:rPr>
                <w:sz w:val="20"/>
                <w:szCs w:val="20"/>
                <w:color w:val="auto"/>
              </w:rPr>
            </w:pPr>
            <w:r>
              <w:rPr>
                <w:rFonts w:ascii="Arial" w:cs="Arial" w:eastAsia="Arial" w:hAnsi="Arial"/>
                <w:sz w:val="13"/>
                <w:szCs w:val="13"/>
                <w:color w:val="auto"/>
              </w:rPr>
              <w:t>(82)</w:t>
            </w:r>
          </w:p>
        </w:tc>
        <w:tc>
          <w:tcPr>
            <w:tcW w:w="96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70"/>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(19)</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(42)</w:t>
            </w:r>
          </w:p>
        </w:tc>
        <w:tc>
          <w:tcPr>
            <w:tcW w:w="22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(32)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r>
      <w:tr>
        <w:trPr>
          <w:trHeight w:val="152"/>
        </w:trPr>
        <w:tc>
          <w:tcPr>
            <w:tcW w:w="32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9"/>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3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980</w:t>
            </w: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1,920</w:t>
            </w:r>
          </w:p>
        </w:tc>
        <w:tc>
          <w:tcPr>
            <w:tcW w:w="22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1,783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4,683</w:t>
            </w:r>
          </w:p>
        </w:tc>
      </w:tr>
      <w:tr>
        <w:trPr>
          <w:trHeight w:val="150"/>
        </w:trPr>
        <w:tc>
          <w:tcPr>
            <w:tcW w:w="32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33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At 1 January 2019</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942</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1,822</w:t>
            </w:r>
          </w:p>
        </w:tc>
        <w:tc>
          <w:tcPr>
            <w:tcW w:w="2200" w:type="dxa"/>
            <w:vAlign w:val="bottom"/>
          </w:tcPr>
          <w:p>
            <w:pPr>
              <w:jc w:val="right"/>
              <w:ind w:right="556"/>
              <w:spacing w:after="0"/>
              <w:rPr>
                <w:sz w:val="20"/>
                <w:szCs w:val="20"/>
                <w:color w:val="auto"/>
              </w:rPr>
            </w:pPr>
            <w:r>
              <w:rPr>
                <w:rFonts w:ascii="Arial" w:cs="Arial" w:eastAsia="Arial" w:hAnsi="Arial"/>
                <w:sz w:val="13"/>
                <w:szCs w:val="13"/>
                <w:color w:val="auto"/>
              </w:rPr>
              <w:t>1,211</w:t>
            </w:r>
          </w:p>
        </w:tc>
        <w:tc>
          <w:tcPr>
            <w:tcW w:w="960" w:type="dxa"/>
            <w:vAlign w:val="bottom"/>
          </w:tcPr>
          <w:p>
            <w:pPr>
              <w:jc w:val="right"/>
              <w:spacing w:after="0"/>
              <w:rPr>
                <w:sz w:val="20"/>
                <w:szCs w:val="20"/>
                <w:color w:val="auto"/>
              </w:rPr>
            </w:pPr>
            <w:r>
              <w:rPr>
                <w:rFonts w:ascii="Arial" w:cs="Arial" w:eastAsia="Arial" w:hAnsi="Arial"/>
                <w:sz w:val="13"/>
                <w:szCs w:val="13"/>
                <w:color w:val="auto"/>
              </w:rPr>
              <w:t>3,975</w:t>
            </w:r>
          </w:p>
        </w:tc>
      </w:tr>
      <w:tr>
        <w:trPr>
          <w:trHeight w:val="172"/>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for the year</w:t>
            </w:r>
          </w:p>
        </w:tc>
        <w:tc>
          <w:tcPr>
            <w:tcW w:w="3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34</w:t>
            </w:r>
          </w:p>
        </w:tc>
        <w:tc>
          <w:tcPr>
            <w:tcW w:w="1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58</w:t>
            </w:r>
          </w:p>
        </w:tc>
        <w:tc>
          <w:tcPr>
            <w:tcW w:w="22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99</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Estimated on disposals</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200" w:type="dxa"/>
            <w:vAlign w:val="bottom"/>
          </w:tcPr>
          <w:p>
            <w:pPr>
              <w:jc w:val="right"/>
              <w:ind w:right="516"/>
              <w:spacing w:after="0"/>
              <w:rPr>
                <w:sz w:val="20"/>
                <w:szCs w:val="20"/>
                <w:color w:val="auto"/>
              </w:rPr>
            </w:pPr>
            <w:r>
              <w:rPr>
                <w:rFonts w:ascii="Arial" w:cs="Arial" w:eastAsia="Arial" w:hAnsi="Arial"/>
                <w:sz w:val="13"/>
                <w:szCs w:val="13"/>
                <w:color w:val="auto"/>
              </w:rPr>
              <w:t>(10)</w:t>
            </w:r>
          </w:p>
        </w:tc>
        <w:tc>
          <w:tcPr>
            <w:tcW w:w="9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0"/>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(18)</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(39)</w:t>
            </w:r>
          </w:p>
        </w:tc>
        <w:tc>
          <w:tcPr>
            <w:tcW w:w="22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32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9"/>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3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958</w:t>
            </w:r>
          </w:p>
        </w:tc>
        <w:tc>
          <w:tcPr>
            <w:tcW w:w="1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1,841</w:t>
            </w:r>
          </w:p>
        </w:tc>
        <w:tc>
          <w:tcPr>
            <w:tcW w:w="22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1,275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4,074</w:t>
            </w:r>
          </w:p>
        </w:tc>
      </w:tr>
      <w:tr>
        <w:trPr>
          <w:trHeight w:val="150"/>
        </w:trPr>
        <w:tc>
          <w:tcPr>
            <w:tcW w:w="32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3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22</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79</w:t>
            </w:r>
          </w:p>
        </w:tc>
        <w:tc>
          <w:tcPr>
            <w:tcW w:w="2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508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609</w:t>
            </w:r>
          </w:p>
        </w:tc>
      </w:tr>
      <w:tr>
        <w:trPr>
          <w:trHeight w:val="159"/>
        </w:trPr>
        <w:tc>
          <w:tcPr>
            <w:tcW w:w="324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2018</w:t>
            </w:r>
          </w:p>
        </w:tc>
        <w:tc>
          <w:tcPr>
            <w:tcW w:w="33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48</w:t>
            </w: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111</w:t>
            </w:r>
          </w:p>
        </w:tc>
        <w:tc>
          <w:tcPr>
            <w:tcW w:w="2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532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691</w:t>
            </w:r>
          </w:p>
        </w:tc>
      </w:tr>
    </w:tbl>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360"/>
          </w:cols>
          <w:pgMar w:left="220" w:top="716" w:right="319" w:bottom="1440" w:gutter="0" w:footer="0" w:header="0"/>
        </w:sectPr>
      </w:pPr>
    </w:p>
    <w:bookmarkStart w:id="151" w:name="page152"/>
    <w:bookmarkEnd w:id="151"/>
    <w:p>
      <w:pPr>
        <w:ind w:left="80"/>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2"/>
          <w:szCs w:val="12"/>
          <w:b w:val="1"/>
          <w:bCs w:val="1"/>
          <w:color w:val="auto"/>
        </w:rPr>
        <w:t>Intangible assets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5620" w:type="dxa"/>
            <w:vAlign w:val="bottom"/>
            <w:tcBorders>
              <w:bottom w:val="single" w:sz="8" w:color="auto"/>
            </w:tcBorders>
            <w:shd w:val="clear" w:color="auto" w:fill="CCEEFF"/>
          </w:tcPr>
          <w:p>
            <w:pPr>
              <w:spacing w:after="0"/>
              <w:rPr>
                <w:sz w:val="16"/>
                <w:szCs w:val="16"/>
                <w:color w:val="auto"/>
              </w:rPr>
            </w:pPr>
          </w:p>
        </w:tc>
        <w:tc>
          <w:tcPr>
            <w:tcW w:w="5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Computer Software</w:t>
            </w:r>
          </w:p>
        </w:tc>
      </w:tr>
      <w:tr>
        <w:trPr>
          <w:trHeight w:val="175"/>
        </w:trPr>
        <w:tc>
          <w:tcPr>
            <w:tcW w:w="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54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7"/>
        </w:trPr>
        <w:tc>
          <w:tcPr>
            <w:tcW w:w="80" w:type="dxa"/>
            <w:vAlign w:val="bottom"/>
          </w:tcPr>
          <w:p>
            <w:pPr>
              <w:spacing w:after="0"/>
              <w:rPr>
                <w:sz w:val="15"/>
                <w:szCs w:val="15"/>
                <w:color w:val="auto"/>
              </w:rPr>
            </w:pPr>
          </w:p>
        </w:tc>
        <w:tc>
          <w:tcPr>
            <w:tcW w:w="5620" w:type="dxa"/>
            <w:vAlign w:val="bottom"/>
            <w:shd w:val="clear" w:color="auto" w:fill="CCEEFF"/>
          </w:tcPr>
          <w:p>
            <w:pPr>
              <w:spacing w:after="0"/>
              <w:rPr>
                <w:sz w:val="15"/>
                <w:szCs w:val="15"/>
                <w:color w:val="auto"/>
              </w:rPr>
            </w:pPr>
          </w:p>
        </w:tc>
        <w:tc>
          <w:tcPr>
            <w:tcW w:w="5400" w:type="dxa"/>
            <w:vAlign w:val="bottom"/>
            <w:shd w:val="clear" w:color="auto" w:fill="CCEEFF"/>
          </w:tcPr>
          <w:p>
            <w:pPr>
              <w:spacing w:after="0"/>
              <w:rPr>
                <w:sz w:val="15"/>
                <w:szCs w:val="15"/>
                <w:color w:val="auto"/>
              </w:rPr>
            </w:pPr>
          </w:p>
        </w:tc>
      </w:tr>
      <w:tr>
        <w:trPr>
          <w:trHeight w:val="169"/>
        </w:trPr>
        <w:tc>
          <w:tcPr>
            <w:tcW w:w="5700" w:type="dxa"/>
            <w:vAlign w:val="bottom"/>
            <w:gridSpan w:val="2"/>
          </w:tcPr>
          <w:p>
            <w:pPr>
              <w:ind w:left="20"/>
              <w:spacing w:after="0"/>
              <w:rPr>
                <w:sz w:val="20"/>
                <w:szCs w:val="20"/>
                <w:color w:val="auto"/>
              </w:rPr>
            </w:pPr>
            <w:r>
              <w:rPr>
                <w:rFonts w:ascii="Arial" w:cs="Arial" w:eastAsia="Arial" w:hAnsi="Arial"/>
                <w:sz w:val="13"/>
                <w:szCs w:val="13"/>
                <w:b w:val="1"/>
                <w:bCs w:val="1"/>
                <w:color w:val="auto"/>
              </w:rPr>
              <w:t>st</w:t>
            </w:r>
          </w:p>
        </w:tc>
        <w:tc>
          <w:tcPr>
            <w:tcW w:w="5400" w:type="dxa"/>
            <w:vAlign w:val="bottom"/>
          </w:tcPr>
          <w:p>
            <w:pPr>
              <w:spacing w:after="0"/>
              <w:rPr>
                <w:sz w:val="14"/>
                <w:szCs w:val="14"/>
                <w:color w:val="auto"/>
              </w:rPr>
            </w:pPr>
          </w:p>
        </w:tc>
      </w:tr>
      <w:tr>
        <w:trPr>
          <w:trHeight w:val="170"/>
        </w:trPr>
        <w:tc>
          <w:tcPr>
            <w:tcW w:w="80" w:type="dxa"/>
            <w:vAlign w:val="bottom"/>
          </w:tcPr>
          <w:p>
            <w:pPr>
              <w:spacing w:after="0"/>
              <w:rPr>
                <w:sz w:val="20"/>
                <w:szCs w:val="20"/>
                <w:color w:val="auto"/>
              </w:rPr>
            </w:pPr>
            <w:r>
              <w:rPr>
                <w:rFonts w:ascii="Arial" w:cs="Arial" w:eastAsia="Arial" w:hAnsi="Arial"/>
                <w:sz w:val="13"/>
                <w:szCs w:val="13"/>
                <w:color w:val="auto"/>
                <w:w w:val="82"/>
              </w:rPr>
              <w:t>1</w:t>
            </w:r>
          </w:p>
        </w:tc>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January 2019</w:t>
            </w:r>
          </w:p>
        </w:tc>
        <w:tc>
          <w:tcPr>
            <w:tcW w:w="5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w:t>
            </w:r>
          </w:p>
        </w:tc>
      </w:tr>
      <w:tr>
        <w:trPr>
          <w:trHeight w:val="165"/>
        </w:trPr>
        <w:tc>
          <w:tcPr>
            <w:tcW w:w="5700" w:type="dxa"/>
            <w:vAlign w:val="bottom"/>
            <w:gridSpan w:val="2"/>
          </w:tcPr>
          <w:p>
            <w:pPr>
              <w:spacing w:after="0"/>
              <w:rPr>
                <w:sz w:val="20"/>
                <w:szCs w:val="20"/>
                <w:color w:val="auto"/>
              </w:rPr>
            </w:pPr>
            <w:r>
              <w:rPr>
                <w:rFonts w:ascii="Arial" w:cs="Arial" w:eastAsia="Arial" w:hAnsi="Arial"/>
                <w:sz w:val="13"/>
                <w:szCs w:val="13"/>
                <w:color w:val="auto"/>
              </w:rPr>
              <w:t>ditions</w:t>
            </w:r>
          </w:p>
        </w:tc>
        <w:tc>
          <w:tcPr>
            <w:tcW w:w="54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2"/>
        </w:trPr>
        <w:tc>
          <w:tcPr>
            <w:tcW w:w="5700" w:type="dxa"/>
            <w:vAlign w:val="bottom"/>
            <w:gridSpan w:val="2"/>
          </w:tcPr>
          <w:p>
            <w:pPr>
              <w:spacing w:after="0"/>
              <w:rPr>
                <w:sz w:val="20"/>
                <w:szCs w:val="20"/>
                <w:color w:val="auto"/>
              </w:rPr>
            </w:pPr>
            <w:r>
              <w:rPr>
                <w:rFonts w:ascii="Arial" w:cs="Arial" w:eastAsia="Arial" w:hAnsi="Arial"/>
                <w:sz w:val="13"/>
                <w:szCs w:val="13"/>
                <w:color w:val="auto"/>
              </w:rPr>
              <w:t>reign exchange movement</w:t>
            </w:r>
          </w:p>
        </w:tc>
        <w:tc>
          <w:tcPr>
            <w:tcW w:w="54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8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r>
      <w:tr>
        <w:trPr>
          <w:trHeight w:val="351"/>
        </w:trPr>
        <w:tc>
          <w:tcPr>
            <w:tcW w:w="5700" w:type="dxa"/>
            <w:vAlign w:val="bottom"/>
            <w:gridSpan w:val="2"/>
          </w:tcPr>
          <w:p>
            <w:pPr>
              <w:spacing w:after="0"/>
              <w:rPr>
                <w:sz w:val="20"/>
                <w:szCs w:val="20"/>
                <w:color w:val="auto"/>
              </w:rPr>
            </w:pPr>
            <w:r>
              <w:rPr>
                <w:rFonts w:ascii="Arial" w:cs="Arial" w:eastAsia="Arial" w:hAnsi="Arial"/>
                <w:sz w:val="13"/>
                <w:szCs w:val="13"/>
                <w:color w:val="auto"/>
              </w:rPr>
              <w:t>31 December 2019</w:t>
            </w:r>
          </w:p>
        </w:tc>
        <w:tc>
          <w:tcPr>
            <w:tcW w:w="5400" w:type="dxa"/>
            <w:vAlign w:val="bottom"/>
          </w:tcPr>
          <w:p>
            <w:pPr>
              <w:jc w:val="right"/>
              <w:spacing w:after="0"/>
              <w:rPr>
                <w:sz w:val="20"/>
                <w:szCs w:val="20"/>
                <w:color w:val="auto"/>
              </w:rPr>
            </w:pPr>
            <w:r>
              <w:rPr>
                <w:rFonts w:ascii="Arial" w:cs="Arial" w:eastAsia="Arial" w:hAnsi="Arial"/>
                <w:sz w:val="13"/>
                <w:szCs w:val="13"/>
                <w:color w:val="auto"/>
              </w:rPr>
              <w:t>1,227</w:t>
            </w:r>
          </w:p>
        </w:tc>
      </w:tr>
      <w:tr>
        <w:trPr>
          <w:trHeight w:val="184"/>
        </w:trPr>
        <w:tc>
          <w:tcPr>
            <w:tcW w:w="80" w:type="dxa"/>
            <w:vAlign w:val="bottom"/>
          </w:tcPr>
          <w:p>
            <w:pPr>
              <w:spacing w:after="0"/>
              <w:rPr>
                <w:sz w:val="15"/>
                <w:szCs w:val="15"/>
                <w:color w:val="auto"/>
              </w:rPr>
            </w:pPr>
          </w:p>
        </w:tc>
        <w:tc>
          <w:tcPr>
            <w:tcW w:w="5620" w:type="dxa"/>
            <w:vAlign w:val="bottom"/>
            <w:tcBorders>
              <w:top w:val="single" w:sz="8" w:color="auto"/>
            </w:tcBorders>
          </w:tcPr>
          <w:p>
            <w:pPr>
              <w:spacing w:after="0"/>
              <w:rPr>
                <w:sz w:val="15"/>
                <w:szCs w:val="15"/>
                <w:color w:val="auto"/>
              </w:rPr>
            </w:pPr>
          </w:p>
        </w:tc>
        <w:tc>
          <w:tcPr>
            <w:tcW w:w="5400" w:type="dxa"/>
            <w:vAlign w:val="bottom"/>
            <w:tcBorders>
              <w:top w:val="single" w:sz="8" w:color="auto"/>
            </w:tcBorders>
          </w:tcPr>
          <w:p>
            <w:pPr>
              <w:spacing w:after="0"/>
              <w:rPr>
                <w:sz w:val="15"/>
                <w:szCs w:val="15"/>
                <w:color w:val="auto"/>
              </w:rPr>
            </w:pPr>
          </w:p>
        </w:tc>
      </w:tr>
      <w:tr>
        <w:trPr>
          <w:trHeight w:val="170"/>
        </w:trPr>
        <w:tc>
          <w:tcPr>
            <w:tcW w:w="8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ditions</w:t>
            </w:r>
          </w:p>
        </w:tc>
        <w:tc>
          <w:tcPr>
            <w:tcW w:w="5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700" w:type="dxa"/>
            <w:vAlign w:val="bottom"/>
            <w:gridSpan w:val="2"/>
          </w:tcPr>
          <w:p>
            <w:pPr>
              <w:spacing w:after="0"/>
              <w:rPr>
                <w:sz w:val="20"/>
                <w:szCs w:val="20"/>
                <w:color w:val="auto"/>
              </w:rPr>
            </w:pPr>
            <w:r>
              <w:rPr>
                <w:rFonts w:ascii="Arial" w:cs="Arial" w:eastAsia="Arial" w:hAnsi="Arial"/>
                <w:sz w:val="13"/>
                <w:szCs w:val="13"/>
                <w:color w:val="auto"/>
              </w:rPr>
              <w:t>reign exchange movement</w:t>
            </w:r>
          </w:p>
        </w:tc>
        <w:tc>
          <w:tcPr>
            <w:tcW w:w="54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4"/>
        </w:trPr>
        <w:tc>
          <w:tcPr>
            <w:tcW w:w="80" w:type="dxa"/>
            <w:vAlign w:val="bottom"/>
          </w:tcPr>
          <w:p>
            <w:pPr>
              <w:spacing w:after="0"/>
              <w:rPr>
                <w:sz w:val="16"/>
                <w:szCs w:val="16"/>
                <w:color w:val="auto"/>
              </w:rPr>
            </w:pPr>
          </w:p>
        </w:tc>
        <w:tc>
          <w:tcPr>
            <w:tcW w:w="5620" w:type="dxa"/>
            <w:vAlign w:val="bottom"/>
            <w:tcBorders>
              <w:top w:val="single" w:sz="8" w:color="auto"/>
            </w:tcBorders>
            <w:shd w:val="clear" w:color="auto" w:fill="CCEEFF"/>
          </w:tcPr>
          <w:p>
            <w:pPr>
              <w:spacing w:after="0"/>
              <w:rPr>
                <w:sz w:val="16"/>
                <w:szCs w:val="16"/>
                <w:color w:val="auto"/>
              </w:rPr>
            </w:pPr>
          </w:p>
        </w:tc>
        <w:tc>
          <w:tcPr>
            <w:tcW w:w="5400" w:type="dxa"/>
            <w:vAlign w:val="bottom"/>
            <w:tcBorders>
              <w:top w:val="single" w:sz="8" w:color="auto"/>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-821055</wp:posOffset>
            </wp:positionV>
            <wp:extent cx="7000240" cy="107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-585470</wp:posOffset>
            </wp:positionV>
            <wp:extent cx="7000240" cy="107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0240" cy="107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612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4980" w:type="dxa"/>
            <w:vAlign w:val="bottom"/>
          </w:tcPr>
          <w:p>
            <w:pPr>
              <w:jc w:val="right"/>
              <w:spacing w:after="0"/>
              <w:rPr>
                <w:sz w:val="20"/>
                <w:szCs w:val="20"/>
                <w:color w:val="auto"/>
              </w:rPr>
            </w:pPr>
            <w:r>
              <w:rPr>
                <w:rFonts w:ascii="Arial" w:cs="Arial" w:eastAsia="Arial" w:hAnsi="Arial"/>
                <w:sz w:val="13"/>
                <w:szCs w:val="13"/>
                <w:b w:val="1"/>
                <w:bCs w:val="1"/>
                <w:color w:val="auto"/>
              </w:rPr>
              <w:t>1,240</w:t>
            </w:r>
          </w:p>
        </w:tc>
        <w:tc>
          <w:tcPr>
            <w:tcW w:w="0" w:type="dxa"/>
            <w:vAlign w:val="bottom"/>
          </w:tcPr>
          <w:p>
            <w:pPr>
              <w:spacing w:after="0"/>
              <w:rPr>
                <w:sz w:val="1"/>
                <w:szCs w:val="1"/>
                <w:color w:val="auto"/>
              </w:rPr>
            </w:pPr>
          </w:p>
        </w:tc>
      </w:tr>
      <w:tr>
        <w:trPr>
          <w:trHeight w:val="182"/>
        </w:trPr>
        <w:tc>
          <w:tcPr>
            <w:tcW w:w="80" w:type="dxa"/>
            <w:vAlign w:val="bottom"/>
            <w:vMerge w:val="restart"/>
          </w:tcPr>
          <w:p>
            <w:pPr>
              <w:spacing w:after="0"/>
              <w:rPr>
                <w:sz w:val="15"/>
                <w:szCs w:val="15"/>
                <w:color w:val="auto"/>
              </w:rPr>
            </w:pPr>
          </w:p>
        </w:tc>
        <w:tc>
          <w:tcPr>
            <w:tcW w:w="6040" w:type="dxa"/>
            <w:vAlign w:val="bottom"/>
            <w:tcBorders>
              <w:top w:val="single" w:sz="8" w:color="auto"/>
            </w:tcBorders>
            <w:shd w:val="clear" w:color="auto" w:fill="CCEEFF"/>
          </w:tcPr>
          <w:p>
            <w:pPr>
              <w:spacing w:after="0"/>
              <w:rPr>
                <w:sz w:val="15"/>
                <w:szCs w:val="15"/>
                <w:color w:val="auto"/>
              </w:rPr>
            </w:pPr>
          </w:p>
        </w:tc>
        <w:tc>
          <w:tcPr>
            <w:tcW w:w="4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 w:type="dxa"/>
            <w:vAlign w:val="bottom"/>
            <w:vMerge w:val="continue"/>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3"/>
                <w:szCs w:val="13"/>
                <w:b w:val="1"/>
                <w:bCs w:val="1"/>
                <w:color w:val="auto"/>
              </w:rPr>
              <w:t>ortisation</w:t>
            </w:r>
          </w:p>
        </w:tc>
        <w:tc>
          <w:tcPr>
            <w:tcW w:w="4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20"/>
                <w:szCs w:val="20"/>
                <w:color w:val="auto"/>
              </w:rPr>
            </w:pPr>
            <w:r>
              <w:rPr>
                <w:rFonts w:ascii="Arial" w:cs="Arial" w:eastAsia="Arial" w:hAnsi="Arial"/>
                <w:sz w:val="13"/>
                <w:szCs w:val="13"/>
                <w:color w:val="auto"/>
                <w:w w:val="82"/>
              </w:rPr>
              <w:t>1</w:t>
            </w:r>
          </w:p>
        </w:tc>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January 2019</w:t>
            </w:r>
          </w:p>
        </w:tc>
        <w:tc>
          <w:tcPr>
            <w:tcW w:w="4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0" w:type="dxa"/>
            <w:vAlign w:val="bottom"/>
          </w:tcPr>
          <w:p>
            <w:pPr>
              <w:spacing w:after="0"/>
              <w:rPr>
                <w:sz w:val="1"/>
                <w:szCs w:val="1"/>
                <w:color w:val="auto"/>
              </w:rPr>
            </w:pPr>
          </w:p>
        </w:tc>
      </w:tr>
      <w:tr>
        <w:trPr>
          <w:trHeight w:val="165"/>
        </w:trPr>
        <w:tc>
          <w:tcPr>
            <w:tcW w:w="6120" w:type="dxa"/>
            <w:vAlign w:val="bottom"/>
            <w:gridSpan w:val="2"/>
          </w:tcPr>
          <w:p>
            <w:pPr>
              <w:spacing w:after="0"/>
              <w:rPr>
                <w:sz w:val="20"/>
                <w:szCs w:val="20"/>
                <w:color w:val="auto"/>
              </w:rPr>
            </w:pPr>
            <w:r>
              <w:rPr>
                <w:rFonts w:ascii="Arial" w:cs="Arial" w:eastAsia="Arial" w:hAnsi="Arial"/>
                <w:sz w:val="13"/>
                <w:szCs w:val="13"/>
                <w:color w:val="auto"/>
              </w:rPr>
              <w:t>arge during the year</w:t>
            </w:r>
          </w:p>
        </w:tc>
        <w:tc>
          <w:tcPr>
            <w:tcW w:w="498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2"/>
        </w:trPr>
        <w:tc>
          <w:tcPr>
            <w:tcW w:w="6120" w:type="dxa"/>
            <w:vAlign w:val="bottom"/>
            <w:gridSpan w:val="2"/>
          </w:tcPr>
          <w:p>
            <w:pPr>
              <w:spacing w:after="0"/>
              <w:rPr>
                <w:sz w:val="20"/>
                <w:szCs w:val="20"/>
                <w:color w:val="auto"/>
              </w:rPr>
            </w:pPr>
            <w:r>
              <w:rPr>
                <w:rFonts w:ascii="Arial" w:cs="Arial" w:eastAsia="Arial" w:hAnsi="Arial"/>
                <w:sz w:val="13"/>
                <w:szCs w:val="13"/>
                <w:color w:val="auto"/>
              </w:rPr>
              <w:t>reign exchange movement</w:t>
            </w:r>
          </w:p>
        </w:tc>
        <w:tc>
          <w:tcPr>
            <w:tcW w:w="4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6120" w:type="dxa"/>
            <w:vAlign w:val="bottom"/>
            <w:gridSpan w:val="2"/>
          </w:tcPr>
          <w:p>
            <w:pPr>
              <w:spacing w:after="0"/>
              <w:rPr>
                <w:sz w:val="20"/>
                <w:szCs w:val="20"/>
                <w:color w:val="auto"/>
              </w:rPr>
            </w:pPr>
            <w:r>
              <w:rPr>
                <w:rFonts w:ascii="Arial" w:cs="Arial" w:eastAsia="Arial" w:hAnsi="Arial"/>
                <w:sz w:val="13"/>
                <w:szCs w:val="13"/>
                <w:color w:val="auto"/>
              </w:rPr>
              <w:t>31 December 2019</w:t>
            </w:r>
          </w:p>
        </w:tc>
        <w:tc>
          <w:tcPr>
            <w:tcW w:w="4980" w:type="dxa"/>
            <w:vAlign w:val="bottom"/>
          </w:tcPr>
          <w:p>
            <w:pPr>
              <w:jc w:val="right"/>
              <w:spacing w:after="0"/>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120" w:type="dxa"/>
            <w:vAlign w:val="bottom"/>
            <w:gridSpan w:val="2"/>
          </w:tcPr>
          <w:p>
            <w:pPr>
              <w:spacing w:after="0"/>
              <w:rPr>
                <w:sz w:val="20"/>
                <w:szCs w:val="20"/>
                <w:color w:val="auto"/>
              </w:rPr>
            </w:pPr>
            <w:r>
              <w:rPr>
                <w:rFonts w:ascii="Arial" w:cs="Arial" w:eastAsia="Arial" w:hAnsi="Arial"/>
                <w:sz w:val="13"/>
                <w:szCs w:val="13"/>
                <w:color w:val="auto"/>
              </w:rPr>
              <w:t>arge during the year</w:t>
            </w:r>
          </w:p>
        </w:tc>
        <w:tc>
          <w:tcPr>
            <w:tcW w:w="498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2"/>
        </w:trPr>
        <w:tc>
          <w:tcPr>
            <w:tcW w:w="6120" w:type="dxa"/>
            <w:vAlign w:val="bottom"/>
            <w:gridSpan w:val="2"/>
          </w:tcPr>
          <w:p>
            <w:pPr>
              <w:spacing w:after="0"/>
              <w:rPr>
                <w:sz w:val="20"/>
                <w:szCs w:val="20"/>
                <w:color w:val="auto"/>
              </w:rPr>
            </w:pPr>
            <w:r>
              <w:rPr>
                <w:rFonts w:ascii="Arial" w:cs="Arial" w:eastAsia="Arial" w:hAnsi="Arial"/>
                <w:sz w:val="13"/>
                <w:szCs w:val="13"/>
                <w:color w:val="auto"/>
              </w:rPr>
              <w:t>reign exchange movement</w:t>
            </w:r>
          </w:p>
        </w:tc>
        <w:tc>
          <w:tcPr>
            <w:tcW w:w="498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6040" w:type="dxa"/>
            <w:vAlign w:val="bottom"/>
            <w:tcBorders>
              <w:top w:val="single" w:sz="8" w:color="auto"/>
            </w:tcBorders>
            <w:shd w:val="clear" w:color="auto" w:fill="CCEEFF"/>
          </w:tcPr>
          <w:p>
            <w:pPr>
              <w:spacing w:after="0"/>
              <w:rPr>
                <w:sz w:val="15"/>
                <w:szCs w:val="15"/>
                <w:color w:val="auto"/>
              </w:rPr>
            </w:pPr>
          </w:p>
        </w:tc>
        <w:tc>
          <w:tcPr>
            <w:tcW w:w="4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2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4980" w:type="dxa"/>
            <w:vAlign w:val="bottom"/>
          </w:tcPr>
          <w:p>
            <w:pPr>
              <w:jc w:val="right"/>
              <w:spacing w:after="0"/>
              <w:rPr>
                <w:sz w:val="20"/>
                <w:szCs w:val="20"/>
                <w:color w:val="auto"/>
              </w:rPr>
            </w:pPr>
            <w:r>
              <w:rPr>
                <w:rFonts w:ascii="Arial" w:cs="Arial" w:eastAsia="Arial" w:hAnsi="Arial"/>
                <w:sz w:val="13"/>
                <w:szCs w:val="13"/>
                <w:b w:val="1"/>
                <w:bCs w:val="1"/>
                <w:color w:val="auto"/>
              </w:rPr>
              <w:t>1,196</w:t>
            </w:r>
          </w:p>
        </w:tc>
        <w:tc>
          <w:tcPr>
            <w:tcW w:w="0" w:type="dxa"/>
            <w:vAlign w:val="bottom"/>
          </w:tcPr>
          <w:p>
            <w:pPr>
              <w:spacing w:after="0"/>
              <w:rPr>
                <w:sz w:val="1"/>
                <w:szCs w:val="1"/>
                <w:color w:val="auto"/>
              </w:rPr>
            </w:pPr>
          </w:p>
        </w:tc>
      </w:tr>
      <w:tr>
        <w:trPr>
          <w:trHeight w:val="182"/>
        </w:trPr>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rPr>
              <w:t>t</w:t>
            </w:r>
          </w:p>
        </w:tc>
        <w:tc>
          <w:tcPr>
            <w:tcW w:w="6040" w:type="dxa"/>
            <w:vAlign w:val="bottom"/>
            <w:tcBorders>
              <w:top w:val="single" w:sz="8" w:color="auto"/>
            </w:tcBorders>
            <w:shd w:val="clear" w:color="auto" w:fill="CCEEFF"/>
          </w:tcPr>
          <w:p>
            <w:pPr>
              <w:spacing w:after="0"/>
              <w:rPr>
                <w:sz w:val="15"/>
                <w:szCs w:val="15"/>
                <w:color w:val="auto"/>
              </w:rPr>
            </w:pPr>
          </w:p>
        </w:tc>
        <w:tc>
          <w:tcPr>
            <w:tcW w:w="4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 w:type="dxa"/>
            <w:vAlign w:val="bottom"/>
            <w:vMerge w:val="continue"/>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3"/>
                <w:szCs w:val="13"/>
                <w:b w:val="1"/>
                <w:bCs w:val="1"/>
                <w:color w:val="auto"/>
              </w:rPr>
              <w:t>book value</w:t>
            </w:r>
          </w:p>
        </w:tc>
        <w:tc>
          <w:tcPr>
            <w:tcW w:w="4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4980" w:type="dxa"/>
            <w:vAlign w:val="bottom"/>
          </w:tcPr>
          <w:p>
            <w:pPr>
              <w:jc w:val="right"/>
              <w:spacing w:after="0"/>
              <w:rPr>
                <w:sz w:val="20"/>
                <w:szCs w:val="20"/>
                <w:color w:val="auto"/>
              </w:rPr>
            </w:pPr>
            <w:r>
              <w:rPr>
                <w:rFonts w:ascii="Arial" w:cs="Arial" w:eastAsia="Arial" w:hAnsi="Arial"/>
                <w:sz w:val="13"/>
                <w:szCs w:val="13"/>
                <w:b w:val="1"/>
                <w:bCs w:val="1"/>
                <w:color w:val="auto"/>
              </w:rPr>
              <w:t>44</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20" w:type="dxa"/>
            <w:vAlign w:val="bottom"/>
            <w:gridSpan w:val="2"/>
          </w:tcPr>
          <w:p>
            <w:pPr>
              <w:spacing w:after="0"/>
              <w:rPr>
                <w:sz w:val="20"/>
                <w:szCs w:val="20"/>
                <w:color w:val="auto"/>
              </w:rPr>
            </w:pPr>
            <w:r>
              <w:rPr>
                <w:rFonts w:ascii="Arial" w:cs="Arial" w:eastAsia="Arial" w:hAnsi="Arial"/>
                <w:sz w:val="13"/>
                <w:szCs w:val="13"/>
                <w:color w:val="auto"/>
              </w:rPr>
              <w:t>31 December 2019</w:t>
            </w:r>
          </w:p>
        </w:tc>
        <w:tc>
          <w:tcPr>
            <w:tcW w:w="498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604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-1522095</wp:posOffset>
            </wp:positionV>
            <wp:extent cx="7000240" cy="107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-1285875</wp:posOffset>
            </wp:positionV>
            <wp:extent cx="7000240" cy="107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-1050290</wp:posOffset>
            </wp:positionV>
            <wp:extent cx="7000240" cy="1079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024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-363220</wp:posOffset>
            </wp:positionV>
            <wp:extent cx="7000240" cy="114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0240" cy="11430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-120650</wp:posOffset>
            </wp:positionV>
            <wp:extent cx="7000240" cy="114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0240" cy="11430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100"/>
          </w:cols>
          <w:pgMar w:left="220" w:top="695" w:right="579" w:bottom="1440" w:gutter="0" w:footer="0" w:header="0"/>
        </w:sectPr>
      </w:pPr>
    </w:p>
    <w:bookmarkStart w:id="152" w:name="page153"/>
    <w:bookmarkEnd w:id="152"/>
    <w:p>
      <w:pPr>
        <w:ind w:left="80"/>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b w:val="1"/>
          <w:bCs w:val="1"/>
          <w:color w:val="auto"/>
        </w:rPr>
        <w:t>Investment in subsidiaries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0" w:type="dxa"/>
            <w:vAlign w:val="bottom"/>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4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Investment in Subsidiary</w:t>
            </w:r>
          </w:p>
        </w:tc>
      </w:tr>
      <w:tr>
        <w:trPr>
          <w:trHeight w:val="177"/>
        </w:trPr>
        <w:tc>
          <w:tcPr>
            <w:tcW w:w="80" w:type="dxa"/>
            <w:vAlign w:val="bottom"/>
          </w:tcPr>
          <w:p>
            <w:pPr>
              <w:spacing w:after="0"/>
              <w:rPr>
                <w:sz w:val="15"/>
                <w:szCs w:val="15"/>
                <w:color w:val="auto"/>
              </w:rPr>
            </w:pPr>
          </w:p>
        </w:tc>
        <w:tc>
          <w:tcPr>
            <w:tcW w:w="6180" w:type="dxa"/>
            <w:vAlign w:val="bottom"/>
            <w:tcBorders>
              <w:bottom w:val="single" w:sz="8" w:color="auto"/>
            </w:tcBorders>
            <w:shd w:val="clear" w:color="auto" w:fill="CCEEFF"/>
          </w:tcPr>
          <w:p>
            <w:pPr>
              <w:spacing w:after="0"/>
              <w:rPr>
                <w:sz w:val="15"/>
                <w:szCs w:val="15"/>
                <w:color w:val="auto"/>
              </w:rPr>
            </w:pPr>
          </w:p>
        </w:tc>
        <w:tc>
          <w:tcPr>
            <w:tcW w:w="4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Undertakings</w:t>
            </w:r>
          </w:p>
        </w:tc>
      </w:tr>
      <w:tr>
        <w:trPr>
          <w:trHeight w:val="182"/>
        </w:trPr>
        <w:tc>
          <w:tcPr>
            <w:tcW w:w="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48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7"/>
        </w:trPr>
        <w:tc>
          <w:tcPr>
            <w:tcW w:w="80" w:type="dxa"/>
            <w:vAlign w:val="bottom"/>
          </w:tcPr>
          <w:p>
            <w:pPr>
              <w:spacing w:after="0"/>
              <w:rPr>
                <w:sz w:val="15"/>
                <w:szCs w:val="15"/>
                <w:color w:val="auto"/>
              </w:rPr>
            </w:pPr>
          </w:p>
        </w:tc>
        <w:tc>
          <w:tcPr>
            <w:tcW w:w="6180" w:type="dxa"/>
            <w:vAlign w:val="bottom"/>
            <w:shd w:val="clear" w:color="auto" w:fill="CCEEFF"/>
          </w:tcPr>
          <w:p>
            <w:pPr>
              <w:spacing w:after="0"/>
              <w:rPr>
                <w:sz w:val="15"/>
                <w:szCs w:val="15"/>
                <w:color w:val="auto"/>
              </w:rPr>
            </w:pPr>
          </w:p>
        </w:tc>
        <w:tc>
          <w:tcPr>
            <w:tcW w:w="4820" w:type="dxa"/>
            <w:vAlign w:val="bottom"/>
            <w:shd w:val="clear" w:color="auto" w:fill="CCEEFF"/>
          </w:tcPr>
          <w:p>
            <w:pPr>
              <w:spacing w:after="0"/>
              <w:rPr>
                <w:sz w:val="15"/>
                <w:szCs w:val="15"/>
                <w:color w:val="auto"/>
              </w:rPr>
            </w:pPr>
          </w:p>
        </w:tc>
      </w:tr>
      <w:tr>
        <w:trPr>
          <w:trHeight w:val="169"/>
        </w:trPr>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st</w:t>
            </w:r>
          </w:p>
        </w:tc>
        <w:tc>
          <w:tcPr>
            <w:tcW w:w="482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6180" w:type="dxa"/>
            <w:vAlign w:val="bottom"/>
            <w:shd w:val="clear" w:color="auto" w:fill="CCEEFF"/>
          </w:tcPr>
          <w:p>
            <w:pPr>
              <w:spacing w:after="0"/>
              <w:rPr>
                <w:sz w:val="14"/>
                <w:szCs w:val="14"/>
                <w:color w:val="auto"/>
              </w:rPr>
            </w:pPr>
          </w:p>
        </w:tc>
        <w:tc>
          <w:tcPr>
            <w:tcW w:w="4820" w:type="dxa"/>
            <w:vAlign w:val="bottom"/>
            <w:shd w:val="clear" w:color="auto" w:fill="CCEEFF"/>
          </w:tcPr>
          <w:p>
            <w:pPr>
              <w:spacing w:after="0"/>
              <w:rPr>
                <w:sz w:val="14"/>
                <w:szCs w:val="14"/>
                <w:color w:val="auto"/>
              </w:rPr>
            </w:pPr>
          </w:p>
        </w:tc>
      </w:tr>
      <w:tr>
        <w:trPr>
          <w:trHeight w:val="168"/>
        </w:trPr>
        <w:tc>
          <w:tcPr>
            <w:tcW w:w="6260" w:type="dxa"/>
            <w:vAlign w:val="bottom"/>
            <w:gridSpan w:val="2"/>
          </w:tcPr>
          <w:p>
            <w:pPr>
              <w:spacing w:after="0"/>
              <w:rPr>
                <w:sz w:val="20"/>
                <w:szCs w:val="20"/>
                <w:color w:val="auto"/>
              </w:rPr>
            </w:pPr>
            <w:r>
              <w:rPr>
                <w:rFonts w:ascii="Arial" w:cs="Arial" w:eastAsia="Arial" w:hAnsi="Arial"/>
                <w:sz w:val="13"/>
                <w:szCs w:val="13"/>
                <w:color w:val="auto"/>
              </w:rPr>
              <w:t>1 January 2019</w:t>
            </w:r>
          </w:p>
        </w:tc>
        <w:tc>
          <w:tcPr>
            <w:tcW w:w="4820" w:type="dxa"/>
            <w:vAlign w:val="bottom"/>
          </w:tcPr>
          <w:p>
            <w:pPr>
              <w:jc w:val="right"/>
              <w:spacing w:after="0"/>
              <w:rPr>
                <w:sz w:val="20"/>
                <w:szCs w:val="20"/>
                <w:color w:val="auto"/>
              </w:rPr>
            </w:pPr>
            <w:r>
              <w:rPr>
                <w:rFonts w:ascii="Arial" w:cs="Arial" w:eastAsia="Arial" w:hAnsi="Arial"/>
                <w:sz w:val="13"/>
                <w:szCs w:val="13"/>
                <w:color w:val="auto"/>
              </w:rPr>
              <w:t>264,347</w:t>
            </w:r>
          </w:p>
        </w:tc>
      </w:tr>
      <w:tr>
        <w:trPr>
          <w:trHeight w:val="172"/>
        </w:trPr>
        <w:tc>
          <w:tcPr>
            <w:tcW w:w="8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ditions</w:t>
            </w:r>
          </w:p>
        </w:tc>
        <w:tc>
          <w:tcPr>
            <w:tcW w:w="4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2,977</w:t>
            </w:r>
          </w:p>
        </w:tc>
      </w:tr>
      <w:tr>
        <w:trPr>
          <w:trHeight w:val="165"/>
        </w:trPr>
        <w:tc>
          <w:tcPr>
            <w:tcW w:w="6260" w:type="dxa"/>
            <w:vAlign w:val="bottom"/>
            <w:gridSpan w:val="2"/>
          </w:tcPr>
          <w:p>
            <w:pPr>
              <w:spacing w:after="0"/>
              <w:rPr>
                <w:sz w:val="20"/>
                <w:szCs w:val="20"/>
                <w:color w:val="auto"/>
              </w:rPr>
            </w:pPr>
            <w:r>
              <w:rPr>
                <w:rFonts w:ascii="Arial" w:cs="Arial" w:eastAsia="Arial" w:hAnsi="Arial"/>
                <w:sz w:val="13"/>
                <w:szCs w:val="13"/>
                <w:color w:val="auto"/>
              </w:rPr>
              <w:t>are-based payment</w:t>
            </w:r>
          </w:p>
        </w:tc>
        <w:tc>
          <w:tcPr>
            <w:tcW w:w="4820" w:type="dxa"/>
            <w:vAlign w:val="bottom"/>
          </w:tcPr>
          <w:p>
            <w:pPr>
              <w:jc w:val="right"/>
              <w:spacing w:after="0"/>
              <w:rPr>
                <w:sz w:val="20"/>
                <w:szCs w:val="20"/>
                <w:color w:val="auto"/>
              </w:rPr>
            </w:pPr>
            <w:r>
              <w:rPr>
                <w:rFonts w:ascii="Arial" w:cs="Arial" w:eastAsia="Arial" w:hAnsi="Arial"/>
                <w:sz w:val="13"/>
                <w:szCs w:val="13"/>
                <w:color w:val="auto"/>
              </w:rPr>
              <w:t>19,511</w:t>
            </w:r>
          </w:p>
        </w:tc>
      </w:tr>
      <w:tr>
        <w:trPr>
          <w:trHeight w:val="172"/>
        </w:trPr>
        <w:tc>
          <w:tcPr>
            <w:tcW w:w="6260" w:type="dxa"/>
            <w:vAlign w:val="bottom"/>
            <w:gridSpan w:val="2"/>
          </w:tcPr>
          <w:p>
            <w:pPr>
              <w:spacing w:after="0"/>
              <w:rPr>
                <w:sz w:val="20"/>
                <w:szCs w:val="20"/>
                <w:color w:val="auto"/>
              </w:rPr>
            </w:pPr>
            <w:r>
              <w:rPr>
                <w:rFonts w:ascii="Arial" w:cs="Arial" w:eastAsia="Arial" w:hAnsi="Arial"/>
                <w:sz w:val="13"/>
                <w:szCs w:val="13"/>
                <w:color w:val="auto"/>
              </w:rPr>
              <w:t>are subscription payment from subsidiary companies</w:t>
            </w:r>
          </w:p>
        </w:tc>
        <w:tc>
          <w:tcPr>
            <w:tcW w:w="4820" w:type="dxa"/>
            <w:vAlign w:val="bottom"/>
          </w:tcPr>
          <w:p>
            <w:pPr>
              <w:jc w:val="right"/>
              <w:spacing w:after="0"/>
              <w:rPr>
                <w:sz w:val="20"/>
                <w:szCs w:val="20"/>
                <w:color w:val="auto"/>
              </w:rPr>
            </w:pPr>
            <w:r>
              <w:rPr>
                <w:rFonts w:ascii="Arial" w:cs="Arial" w:eastAsia="Arial" w:hAnsi="Arial"/>
                <w:sz w:val="13"/>
                <w:szCs w:val="13"/>
                <w:color w:val="auto"/>
              </w:rPr>
              <w:t>(45,469)</w:t>
            </w:r>
          </w:p>
        </w:tc>
      </w:tr>
      <w:tr>
        <w:trPr>
          <w:trHeight w:val="20"/>
        </w:trPr>
        <w:tc>
          <w:tcPr>
            <w:tcW w:w="8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-113665</wp:posOffset>
            </wp:positionV>
            <wp:extent cx="6986270" cy="107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6270" cy="1079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gridSpan w:val="2"/>
          </w:tcPr>
          <w:p>
            <w:pPr>
              <w:spacing w:after="0"/>
              <w:rPr>
                <w:sz w:val="20"/>
                <w:szCs w:val="20"/>
                <w:color w:val="auto"/>
              </w:rPr>
            </w:pPr>
            <w:r>
              <w:rPr>
                <w:rFonts w:ascii="Arial" w:cs="Arial" w:eastAsia="Arial" w:hAnsi="Arial"/>
                <w:sz w:val="13"/>
                <w:szCs w:val="13"/>
                <w:color w:val="auto"/>
              </w:rPr>
              <w:t>31 December 2019</w:t>
            </w:r>
          </w:p>
        </w:tc>
        <w:tc>
          <w:tcPr>
            <w:tcW w:w="4300" w:type="dxa"/>
            <w:vAlign w:val="bottom"/>
          </w:tcPr>
          <w:p>
            <w:pPr>
              <w:jc w:val="right"/>
              <w:spacing w:after="0"/>
              <w:rPr>
                <w:sz w:val="20"/>
                <w:szCs w:val="20"/>
                <w:color w:val="auto"/>
              </w:rPr>
            </w:pPr>
            <w:r>
              <w:rPr>
                <w:rFonts w:ascii="Arial" w:cs="Arial" w:eastAsia="Arial" w:hAnsi="Arial"/>
                <w:sz w:val="13"/>
                <w:szCs w:val="13"/>
                <w:b w:val="1"/>
                <w:bCs w:val="1"/>
                <w:color w:val="auto"/>
              </w:rPr>
              <w:t>241,366</w:t>
            </w:r>
          </w:p>
        </w:tc>
      </w:tr>
      <w:tr>
        <w:trPr>
          <w:trHeight w:val="184"/>
        </w:trPr>
        <w:tc>
          <w:tcPr>
            <w:tcW w:w="80" w:type="dxa"/>
            <w:vAlign w:val="bottom"/>
          </w:tcPr>
          <w:p>
            <w:pPr>
              <w:spacing w:after="0"/>
              <w:rPr>
                <w:sz w:val="15"/>
                <w:szCs w:val="15"/>
                <w:color w:val="auto"/>
              </w:rPr>
            </w:pPr>
          </w:p>
        </w:tc>
        <w:tc>
          <w:tcPr>
            <w:tcW w:w="6700" w:type="dxa"/>
            <w:vAlign w:val="bottom"/>
            <w:tcBorders>
              <w:top w:val="single" w:sz="8" w:color="auto"/>
            </w:tcBorders>
          </w:tcPr>
          <w:p>
            <w:pPr>
              <w:spacing w:after="0"/>
              <w:rPr>
                <w:sz w:val="15"/>
                <w:szCs w:val="15"/>
                <w:color w:val="auto"/>
              </w:rPr>
            </w:pPr>
          </w:p>
        </w:tc>
        <w:tc>
          <w:tcPr>
            <w:tcW w:w="4300" w:type="dxa"/>
            <w:vAlign w:val="bottom"/>
            <w:tcBorders>
              <w:top w:val="single" w:sz="8" w:color="auto"/>
            </w:tcBorders>
          </w:tcPr>
          <w:p>
            <w:pPr>
              <w:spacing w:after="0"/>
              <w:rPr>
                <w:sz w:val="15"/>
                <w:szCs w:val="15"/>
                <w:color w:val="auto"/>
              </w:rPr>
            </w:pPr>
          </w:p>
        </w:tc>
      </w:tr>
      <w:tr>
        <w:trPr>
          <w:trHeight w:val="170"/>
        </w:trPr>
        <w:tc>
          <w:tcPr>
            <w:tcW w:w="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ditions</w:t>
            </w:r>
          </w:p>
        </w:tc>
        <w:tc>
          <w:tcPr>
            <w:tcW w:w="4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365,074</w:t>
            </w:r>
          </w:p>
        </w:tc>
      </w:tr>
      <w:tr>
        <w:trPr>
          <w:trHeight w:val="165"/>
        </w:trPr>
        <w:tc>
          <w:tcPr>
            <w:tcW w:w="6780" w:type="dxa"/>
            <w:vAlign w:val="bottom"/>
            <w:gridSpan w:val="2"/>
          </w:tcPr>
          <w:p>
            <w:pPr>
              <w:spacing w:after="0"/>
              <w:rPr>
                <w:sz w:val="20"/>
                <w:szCs w:val="20"/>
                <w:color w:val="auto"/>
              </w:rPr>
            </w:pPr>
            <w:r>
              <w:rPr>
                <w:rFonts w:ascii="Arial" w:cs="Arial" w:eastAsia="Arial" w:hAnsi="Arial"/>
                <w:sz w:val="13"/>
                <w:szCs w:val="13"/>
                <w:color w:val="auto"/>
              </w:rPr>
              <w:t>are-based payment</w:t>
            </w:r>
          </w:p>
        </w:tc>
        <w:tc>
          <w:tcPr>
            <w:tcW w:w="4300" w:type="dxa"/>
            <w:vAlign w:val="bottom"/>
          </w:tcPr>
          <w:p>
            <w:pPr>
              <w:jc w:val="right"/>
              <w:spacing w:after="0"/>
              <w:rPr>
                <w:sz w:val="20"/>
                <w:szCs w:val="20"/>
                <w:color w:val="auto"/>
              </w:rPr>
            </w:pPr>
            <w:r>
              <w:rPr>
                <w:rFonts w:ascii="Arial" w:cs="Arial" w:eastAsia="Arial" w:hAnsi="Arial"/>
                <w:sz w:val="13"/>
                <w:szCs w:val="13"/>
                <w:color w:val="auto"/>
              </w:rPr>
              <w:t>21,061</w:t>
            </w:r>
          </w:p>
        </w:tc>
      </w:tr>
      <w:tr>
        <w:trPr>
          <w:trHeight w:val="172"/>
        </w:trPr>
        <w:tc>
          <w:tcPr>
            <w:tcW w:w="6780" w:type="dxa"/>
            <w:vAlign w:val="bottom"/>
            <w:gridSpan w:val="2"/>
          </w:tcPr>
          <w:p>
            <w:pPr>
              <w:spacing w:after="0"/>
              <w:rPr>
                <w:sz w:val="20"/>
                <w:szCs w:val="20"/>
                <w:color w:val="auto"/>
              </w:rPr>
            </w:pPr>
            <w:r>
              <w:rPr>
                <w:rFonts w:ascii="Arial" w:cs="Arial" w:eastAsia="Arial" w:hAnsi="Arial"/>
                <w:sz w:val="13"/>
                <w:szCs w:val="13"/>
                <w:color w:val="auto"/>
              </w:rPr>
              <w:t>are subscription payment from subsidiary companies</w:t>
            </w:r>
          </w:p>
        </w:tc>
        <w:tc>
          <w:tcPr>
            <w:tcW w:w="4300" w:type="dxa"/>
            <w:vAlign w:val="bottom"/>
          </w:tcPr>
          <w:p>
            <w:pPr>
              <w:jc w:val="right"/>
              <w:spacing w:after="0"/>
              <w:rPr>
                <w:sz w:val="20"/>
                <w:szCs w:val="20"/>
                <w:color w:val="auto"/>
              </w:rPr>
            </w:pPr>
            <w:r>
              <w:rPr>
                <w:rFonts w:ascii="Arial" w:cs="Arial" w:eastAsia="Arial" w:hAnsi="Arial"/>
                <w:sz w:val="13"/>
                <w:szCs w:val="13"/>
                <w:color w:val="auto"/>
              </w:rPr>
              <w:t>(36,680)</w:t>
            </w:r>
          </w:p>
        </w:tc>
      </w:tr>
      <w:tr>
        <w:trPr>
          <w:trHeight w:val="20"/>
        </w:trPr>
        <w:tc>
          <w:tcPr>
            <w:tcW w:w="80" w:type="dxa"/>
            <w:vAlign w:val="bottom"/>
          </w:tcPr>
          <w:p>
            <w:pPr>
              <w:spacing w:after="0" w:line="20" w:lineRule="exact"/>
              <w:rPr>
                <w:sz w:val="1"/>
                <w:szCs w:val="1"/>
                <w:color w:val="auto"/>
              </w:rPr>
            </w:pPr>
          </w:p>
        </w:tc>
        <w:tc>
          <w:tcPr>
            <w:tcW w:w="670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r>
        <w:trPr>
          <w:trHeight w:val="351"/>
        </w:trPr>
        <w:tc>
          <w:tcPr>
            <w:tcW w:w="6780" w:type="dxa"/>
            <w:vAlign w:val="bottom"/>
            <w:gridSpan w:val="2"/>
          </w:tcPr>
          <w:p>
            <w:pPr>
              <w:ind w:left="20"/>
              <w:spacing w:after="0"/>
              <w:rPr>
                <w:sz w:val="20"/>
                <w:szCs w:val="20"/>
                <w:color w:val="auto"/>
              </w:rPr>
            </w:pPr>
            <w:r>
              <w:rPr>
                <w:rFonts w:ascii="Arial" w:cs="Arial" w:eastAsia="Arial" w:hAnsi="Arial"/>
                <w:sz w:val="13"/>
                <w:szCs w:val="13"/>
                <w:b w:val="1"/>
                <w:bCs w:val="1"/>
                <w:color w:val="auto"/>
              </w:rPr>
              <w:t>31 December 2020</w:t>
            </w:r>
          </w:p>
        </w:tc>
        <w:tc>
          <w:tcPr>
            <w:tcW w:w="4300" w:type="dxa"/>
            <w:vAlign w:val="bottom"/>
          </w:tcPr>
          <w:p>
            <w:pPr>
              <w:jc w:val="right"/>
              <w:spacing w:after="0"/>
              <w:rPr>
                <w:sz w:val="20"/>
                <w:szCs w:val="20"/>
                <w:color w:val="auto"/>
              </w:rPr>
            </w:pPr>
            <w:r>
              <w:rPr>
                <w:rFonts w:ascii="Arial" w:cs="Arial" w:eastAsia="Arial" w:hAnsi="Arial"/>
                <w:sz w:val="13"/>
                <w:szCs w:val="13"/>
                <w:b w:val="1"/>
                <w:bCs w:val="1"/>
                <w:color w:val="auto"/>
              </w:rPr>
              <w:t>590,821</w:t>
            </w:r>
          </w:p>
        </w:tc>
      </w:tr>
      <w:tr>
        <w:trPr>
          <w:trHeight w:val="23"/>
        </w:trPr>
        <w:tc>
          <w:tcPr>
            <w:tcW w:w="80" w:type="dxa"/>
            <w:vAlign w:val="bottom"/>
          </w:tcPr>
          <w:p>
            <w:pPr>
              <w:spacing w:after="0"/>
              <w:rPr>
                <w:sz w:val="2"/>
                <w:szCs w:val="2"/>
                <w:color w:val="auto"/>
              </w:rPr>
            </w:pPr>
          </w:p>
        </w:tc>
        <w:tc>
          <w:tcPr>
            <w:tcW w:w="670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-807720</wp:posOffset>
            </wp:positionV>
            <wp:extent cx="6986270" cy="107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8627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-356235</wp:posOffset>
            </wp:positionV>
            <wp:extent cx="6986270" cy="107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86270" cy="1079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-120650</wp:posOffset>
            </wp:positionV>
            <wp:extent cx="6986270"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86270" cy="11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080"/>
          </w:cols>
          <w:pgMar w:left="220" w:top="696" w:right="5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b w:val="1"/>
          <w:bCs w:val="1"/>
          <w:color w:val="auto"/>
        </w:rPr>
        <w:t>Deferred taxation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net deferred tax asset at 31 December 2020 and 31 December 2019 was as follows:</w:t>
      </w:r>
    </w:p>
    <w:tbl>
      <w:tblPr>
        <w:tblLayout w:type="fixed"/>
        <w:tblInd w:w="0" w:type="dxa"/>
        <w:tblCellMar>
          <w:top w:w="0" w:type="dxa"/>
          <w:left w:w="0" w:type="dxa"/>
          <w:bottom w:w="0" w:type="dxa"/>
          <w:right w:w="0" w:type="dxa"/>
        </w:tblCellMar>
      </w:tblPr>
      <w:tr>
        <w:trPr>
          <w:trHeight w:val="146"/>
        </w:trPr>
        <w:tc>
          <w:tcPr>
            <w:tcW w:w="300" w:type="dxa"/>
            <w:vAlign w:val="bottom"/>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136"/>
              <w:spacing w:after="0" w:line="146" w:lineRule="exact"/>
              <w:rPr>
                <w:sz w:val="20"/>
                <w:szCs w:val="20"/>
                <w:color w:val="auto"/>
              </w:rPr>
            </w:pPr>
            <w:r>
              <w:rPr>
                <w:rFonts w:ascii="Arial" w:cs="Arial" w:eastAsia="Arial" w:hAnsi="Arial"/>
                <w:sz w:val="13"/>
                <w:szCs w:val="13"/>
                <w:b w:val="1"/>
                <w:bCs w:val="1"/>
                <w:color w:val="auto"/>
              </w:rPr>
              <w:t>31 December</w:t>
            </w:r>
          </w:p>
        </w:tc>
        <w:tc>
          <w:tcPr>
            <w:tcW w:w="13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4760" w:type="dxa"/>
            <w:vAlign w:val="bottom"/>
            <w:tcBorders>
              <w:bottom w:val="single" w:sz="8" w:color="auto"/>
            </w:tcBorders>
            <w:shd w:val="clear" w:color="auto" w:fill="CCEEFF"/>
          </w:tcPr>
          <w:p>
            <w:pPr>
              <w:spacing w:after="0"/>
              <w:rPr>
                <w:sz w:val="14"/>
                <w:szCs w:val="14"/>
                <w:color w:val="auto"/>
              </w:rPr>
            </w:pPr>
          </w:p>
        </w:tc>
        <w:tc>
          <w:tcPr>
            <w:tcW w:w="33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8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360" w:type="dxa"/>
            <w:vAlign w:val="bottom"/>
          </w:tcPr>
          <w:p>
            <w:pPr>
              <w:jc w:val="right"/>
              <w:ind w:right="136"/>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4760" w:type="dxa"/>
            <w:vAlign w:val="bottom"/>
          </w:tcPr>
          <w:p>
            <w:pPr>
              <w:ind w:left="40"/>
              <w:spacing w:after="0"/>
              <w:rPr>
                <w:sz w:val="20"/>
                <w:szCs w:val="20"/>
                <w:color w:val="auto"/>
              </w:rPr>
            </w:pPr>
            <w:r>
              <w:rPr>
                <w:rFonts w:ascii="Arial" w:cs="Arial" w:eastAsia="Arial" w:hAnsi="Arial"/>
                <w:sz w:val="13"/>
                <w:szCs w:val="13"/>
                <w:b w:val="1"/>
                <w:bCs w:val="1"/>
                <w:color w:val="auto"/>
              </w:rPr>
              <w:t>Deferred taxation assets:</w:t>
            </w:r>
          </w:p>
        </w:tc>
        <w:tc>
          <w:tcPr>
            <w:tcW w:w="3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4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Accrued expenses and payments on account</w:t>
            </w:r>
          </w:p>
        </w:tc>
        <w:tc>
          <w:tcPr>
            <w:tcW w:w="33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376</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4760" w:type="dxa"/>
            <w:vAlign w:val="bottom"/>
          </w:tcPr>
          <w:p>
            <w:pPr>
              <w:ind w:left="40"/>
              <w:spacing w:after="0"/>
              <w:rPr>
                <w:sz w:val="20"/>
                <w:szCs w:val="20"/>
                <w:color w:val="auto"/>
              </w:rPr>
            </w:pPr>
            <w:r>
              <w:rPr>
                <w:rFonts w:ascii="Arial" w:cs="Arial" w:eastAsia="Arial" w:hAnsi="Arial"/>
                <w:sz w:val="13"/>
                <w:szCs w:val="13"/>
                <w:color w:val="auto"/>
              </w:rPr>
              <w:t>Property, plant and equipment</w:t>
            </w:r>
          </w:p>
        </w:tc>
        <w:tc>
          <w:tcPr>
            <w:tcW w:w="3360" w:type="dxa"/>
            <w:vAlign w:val="bottom"/>
          </w:tcPr>
          <w:p>
            <w:pPr>
              <w:spacing w:after="0"/>
              <w:rPr>
                <w:sz w:val="14"/>
                <w:szCs w:val="14"/>
                <w:color w:val="auto"/>
              </w:rPr>
            </w:pPr>
          </w:p>
        </w:tc>
        <w:tc>
          <w:tcPr>
            <w:tcW w:w="1480" w:type="dxa"/>
            <w:vAlign w:val="bottom"/>
          </w:tcPr>
          <w:p>
            <w:pPr>
              <w:jc w:val="right"/>
              <w:ind w:right="176"/>
              <w:spacing w:after="0"/>
              <w:rPr>
                <w:sz w:val="20"/>
                <w:szCs w:val="20"/>
                <w:color w:val="auto"/>
              </w:rPr>
            </w:pPr>
            <w:r>
              <w:rPr>
                <w:rFonts w:ascii="Arial" w:cs="Arial" w:eastAsia="Arial" w:hAnsi="Arial"/>
                <w:sz w:val="13"/>
                <w:szCs w:val="13"/>
                <w:b w:val="1"/>
                <w:bCs w:val="1"/>
                <w:color w:val="auto"/>
              </w:rPr>
              <w:t>9</w:t>
            </w:r>
          </w:p>
        </w:tc>
        <w:tc>
          <w:tcPr>
            <w:tcW w:w="136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4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Loans to subsidiaries</w:t>
            </w:r>
          </w:p>
        </w:tc>
        <w:tc>
          <w:tcPr>
            <w:tcW w:w="33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4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deferred taxation assets</w:t>
            </w:r>
          </w:p>
        </w:tc>
        <w:tc>
          <w:tcPr>
            <w:tcW w:w="33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435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47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Deferred taxation liabilities:</w:t>
            </w:r>
          </w:p>
        </w:tc>
        <w:tc>
          <w:tcPr>
            <w:tcW w:w="3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4760" w:type="dxa"/>
            <w:vAlign w:val="bottom"/>
          </w:tcPr>
          <w:p>
            <w:pPr>
              <w:ind w:left="40"/>
              <w:spacing w:after="0"/>
              <w:rPr>
                <w:sz w:val="20"/>
                <w:szCs w:val="20"/>
                <w:color w:val="auto"/>
              </w:rPr>
            </w:pPr>
            <w:r>
              <w:rPr>
                <w:rFonts w:ascii="Arial" w:cs="Arial" w:eastAsia="Arial" w:hAnsi="Arial"/>
                <w:sz w:val="13"/>
                <w:szCs w:val="13"/>
                <w:color w:val="auto"/>
              </w:rPr>
              <w:t>Property, plant and equipment</w:t>
            </w:r>
          </w:p>
        </w:tc>
        <w:tc>
          <w:tcPr>
            <w:tcW w:w="3360" w:type="dxa"/>
            <w:vAlign w:val="bottom"/>
          </w:tcPr>
          <w:p>
            <w:pPr>
              <w:spacing w:after="0"/>
              <w:rPr>
                <w:sz w:val="14"/>
                <w:szCs w:val="14"/>
                <w:color w:val="auto"/>
              </w:rPr>
            </w:pPr>
          </w:p>
        </w:tc>
        <w:tc>
          <w:tcPr>
            <w:tcW w:w="1480" w:type="dxa"/>
            <w:vAlign w:val="bottom"/>
          </w:tcPr>
          <w:p>
            <w:pPr>
              <w:jc w:val="right"/>
              <w:ind w:right="136"/>
              <w:spacing w:after="0"/>
              <w:rPr>
                <w:sz w:val="20"/>
                <w:szCs w:val="20"/>
                <w:color w:val="auto"/>
              </w:rPr>
            </w:pPr>
            <w:r>
              <w:rPr>
                <w:rFonts w:ascii="Arial" w:cs="Arial" w:eastAsia="Arial" w:hAnsi="Arial"/>
                <w:sz w:val="13"/>
                <w:szCs w:val="13"/>
                <w:b w:val="1"/>
                <w:bCs w:val="1"/>
                <w:color w:val="auto"/>
              </w:rPr>
              <w:t>(1)</w:t>
            </w:r>
          </w:p>
        </w:tc>
        <w:tc>
          <w:tcPr>
            <w:tcW w:w="13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4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Accrued expenses and payments on account</w:t>
            </w:r>
          </w:p>
        </w:tc>
        <w:tc>
          <w:tcPr>
            <w:tcW w:w="33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4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Total deferred taxation liabilities</w:t>
            </w:r>
          </w:p>
        </w:tc>
        <w:tc>
          <w:tcPr>
            <w:tcW w:w="33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Net deferred taxation asset</w:t>
            </w:r>
          </w:p>
        </w:tc>
        <w:tc>
          <w:tcPr>
            <w:tcW w:w="33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434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276"/>
        </w:trPr>
        <w:tc>
          <w:tcPr>
            <w:tcW w:w="30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300" w:type="dxa"/>
            <w:vAlign w:val="bottom"/>
            <w:shd w:val="clear" w:color="auto" w:fill="CCEEFF"/>
          </w:tcPr>
          <w:p>
            <w:pPr>
              <w:spacing w:after="0"/>
              <w:rPr>
                <w:sz w:val="11"/>
                <w:szCs w:val="11"/>
                <w:color w:val="auto"/>
              </w:rPr>
            </w:pPr>
          </w:p>
        </w:tc>
        <w:tc>
          <w:tcPr>
            <w:tcW w:w="4760" w:type="dxa"/>
            <w:vAlign w:val="bottom"/>
            <w:shd w:val="clear" w:color="auto" w:fill="CCEEFF"/>
          </w:tcPr>
          <w:p>
            <w:pPr>
              <w:spacing w:after="0"/>
              <w:rPr>
                <w:sz w:val="11"/>
                <w:szCs w:val="11"/>
                <w:color w:val="auto"/>
              </w:rPr>
            </w:pPr>
          </w:p>
        </w:tc>
        <w:tc>
          <w:tcPr>
            <w:tcW w:w="33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Balance 1 January</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Recognised in Income</w:t>
            </w:r>
          </w:p>
        </w:tc>
        <w:tc>
          <w:tcPr>
            <w:tcW w:w="13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w w:val="98"/>
              </w:rPr>
              <w:t>Balance 31 December</w:t>
            </w:r>
          </w:p>
        </w:tc>
        <w:tc>
          <w:tcPr>
            <w:tcW w:w="0" w:type="dxa"/>
            <w:vAlign w:val="bottom"/>
          </w:tcPr>
          <w:p>
            <w:pPr>
              <w:spacing w:after="0"/>
              <w:rPr>
                <w:sz w:val="1"/>
                <w:szCs w:val="1"/>
                <w:color w:val="auto"/>
              </w:rPr>
            </w:pPr>
          </w:p>
        </w:tc>
      </w:tr>
      <w:tr>
        <w:trPr>
          <w:trHeight w:val="169"/>
        </w:trPr>
        <w:tc>
          <w:tcPr>
            <w:tcW w:w="300" w:type="dxa"/>
            <w:vAlign w:val="bottom"/>
            <w:tcBorders>
              <w:bottom w:val="single" w:sz="8" w:color="auto"/>
            </w:tcBorders>
            <w:shd w:val="clear" w:color="auto" w:fill="CCEEFF"/>
          </w:tcPr>
          <w:p>
            <w:pPr>
              <w:spacing w:after="0"/>
              <w:rPr>
                <w:sz w:val="14"/>
                <w:szCs w:val="14"/>
                <w:color w:val="auto"/>
              </w:rPr>
            </w:pPr>
          </w:p>
        </w:tc>
        <w:tc>
          <w:tcPr>
            <w:tcW w:w="4760" w:type="dxa"/>
            <w:vAlign w:val="bottom"/>
            <w:tcBorders>
              <w:bottom w:val="single" w:sz="8" w:color="auto"/>
            </w:tcBorders>
            <w:shd w:val="clear" w:color="auto" w:fill="CCEEFF"/>
          </w:tcPr>
          <w:p>
            <w:pPr>
              <w:spacing w:after="0"/>
              <w:rPr>
                <w:sz w:val="14"/>
                <w:szCs w:val="14"/>
                <w:color w:val="auto"/>
              </w:rPr>
            </w:pP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36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3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5060" w:type="dxa"/>
            <w:vAlign w:val="bottom"/>
            <w:gridSpan w:val="2"/>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gridSpan w:val="2"/>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3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364</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68"/>
        </w:trPr>
        <w:tc>
          <w:tcPr>
            <w:tcW w:w="5060" w:type="dxa"/>
            <w:vAlign w:val="bottom"/>
            <w:gridSpan w:val="2"/>
          </w:tcPr>
          <w:p>
            <w:pPr>
              <w:ind w:left="60"/>
              <w:spacing w:after="0"/>
              <w:rPr>
                <w:sz w:val="20"/>
                <w:szCs w:val="20"/>
                <w:color w:val="auto"/>
              </w:rPr>
            </w:pPr>
            <w:r>
              <w:rPr>
                <w:rFonts w:ascii="Arial" w:cs="Arial" w:eastAsia="Arial" w:hAnsi="Arial"/>
                <w:sz w:val="13"/>
                <w:szCs w:val="13"/>
                <w:color w:val="auto"/>
              </w:rPr>
              <w:t>Property plant and equipment</w:t>
            </w:r>
          </w:p>
        </w:tc>
        <w:tc>
          <w:tcPr>
            <w:tcW w:w="3360" w:type="dxa"/>
            <w:vAlign w:val="bottom"/>
          </w:tcPr>
          <w:p>
            <w:pPr>
              <w:jc w:val="right"/>
              <w:ind w:right="56"/>
              <w:spacing w:after="0"/>
              <w:rPr>
                <w:sz w:val="20"/>
                <w:szCs w:val="20"/>
                <w:color w:val="auto"/>
              </w:rPr>
            </w:pPr>
            <w:r>
              <w:rPr>
                <w:rFonts w:ascii="Arial" w:cs="Arial" w:eastAsia="Arial" w:hAnsi="Arial"/>
                <w:sz w:val="13"/>
                <w:szCs w:val="13"/>
                <w:color w:val="auto"/>
              </w:rPr>
              <w:t>9</w:t>
            </w:r>
          </w:p>
        </w:tc>
        <w:tc>
          <w:tcPr>
            <w:tcW w:w="1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0"/>
        </w:trPr>
        <w:tc>
          <w:tcPr>
            <w:tcW w:w="50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color w:val="auto"/>
              </w:rPr>
              <w:t>Loans to subsidiaries</w:t>
            </w:r>
          </w:p>
        </w:tc>
        <w:tc>
          <w:tcPr>
            <w:tcW w:w="3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50</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423</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435</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60" w:type="dxa"/>
            <w:vAlign w:val="bottom"/>
            <w:gridSpan w:val="2"/>
          </w:tcPr>
          <w:p>
            <w:pPr>
              <w:ind w:left="20"/>
              <w:spacing w:after="0"/>
              <w:rPr>
                <w:sz w:val="20"/>
                <w:szCs w:val="20"/>
                <w:color w:val="auto"/>
              </w:rPr>
            </w:pPr>
            <w:r>
              <w:rPr>
                <w:rFonts w:ascii="Arial" w:cs="Arial" w:eastAsia="Arial" w:hAnsi="Arial"/>
                <w:sz w:val="13"/>
                <w:szCs w:val="13"/>
                <w:color w:val="auto"/>
              </w:rPr>
              <w:t>Property, plant and equipment</w:t>
            </w:r>
          </w:p>
        </w:tc>
        <w:tc>
          <w:tcPr>
            <w:tcW w:w="336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148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3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0"/>
        </w:trPr>
        <w:tc>
          <w:tcPr>
            <w:tcW w:w="50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Accrued expenses and payments on account</w:t>
            </w:r>
          </w:p>
        </w:tc>
        <w:tc>
          <w:tcPr>
            <w:tcW w:w="3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3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421</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60"/>
          </w:cols>
          <w:pgMar w:left="300" w:top="696"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b w:val="1"/>
          <w:bCs w:val="1"/>
          <w:color w:val="auto"/>
        </w:rPr>
        <w:t>Deferred taxation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shd w:val="clear" w:color="auto" w:fill="CCEEFF"/>
          </w:tcPr>
          <w:p>
            <w:pPr>
              <w:spacing w:after="0"/>
              <w:rPr>
                <w:sz w:val="13"/>
                <w:szCs w:val="13"/>
                <w:color w:val="auto"/>
              </w:rPr>
            </w:pPr>
          </w:p>
        </w:tc>
        <w:tc>
          <w:tcPr>
            <w:tcW w:w="392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Balance 1 January</w:t>
            </w: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Balance 31 December</w:t>
            </w:r>
          </w:p>
        </w:tc>
      </w:tr>
      <w:tr>
        <w:trPr>
          <w:trHeight w:val="169"/>
        </w:trPr>
        <w:tc>
          <w:tcPr>
            <w:tcW w:w="4940" w:type="dxa"/>
            <w:vAlign w:val="bottom"/>
            <w:tcBorders>
              <w:bottom w:val="single" w:sz="8" w:color="auto"/>
            </w:tcBorders>
            <w:shd w:val="clear" w:color="auto" w:fill="CCEEFF"/>
          </w:tcPr>
          <w:p>
            <w:pPr>
              <w:spacing w:after="0"/>
              <w:rPr>
                <w:sz w:val="14"/>
                <w:szCs w:val="14"/>
                <w:color w:val="auto"/>
              </w:rPr>
            </w:pPr>
          </w:p>
        </w:tc>
        <w:tc>
          <w:tcPr>
            <w:tcW w:w="4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2019 Recognised in Income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2019</w:t>
            </w:r>
          </w:p>
        </w:tc>
      </w:tr>
      <w:tr>
        <w:trPr>
          <w:trHeight w:val="160"/>
        </w:trPr>
        <w:tc>
          <w:tcPr>
            <w:tcW w:w="4940" w:type="dxa"/>
            <w:vAlign w:val="bottom"/>
          </w:tcPr>
          <w:p>
            <w:pPr>
              <w:spacing w:after="0"/>
              <w:rPr>
                <w:sz w:val="13"/>
                <w:szCs w:val="13"/>
                <w:color w:val="auto"/>
              </w:rPr>
            </w:pPr>
          </w:p>
        </w:tc>
        <w:tc>
          <w:tcPr>
            <w:tcW w:w="3920" w:type="dxa"/>
            <w:vAlign w:val="bottom"/>
          </w:tcPr>
          <w:p>
            <w:pPr>
              <w:jc w:val="right"/>
              <w:ind w:right="57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380" w:type="dxa"/>
            <w:vAlign w:val="bottom"/>
          </w:tcPr>
          <w:p>
            <w:pPr>
              <w:jc w:val="right"/>
              <w:ind w:right="136"/>
              <w:spacing w:after="0"/>
              <w:rPr>
                <w:sz w:val="20"/>
                <w:szCs w:val="20"/>
                <w:color w:val="auto"/>
              </w:rPr>
            </w:pPr>
            <w:r>
              <w:rPr>
                <w:rFonts w:ascii="Arial" w:cs="Arial" w:eastAsia="Arial" w:hAnsi="Arial"/>
                <w:sz w:val="13"/>
                <w:szCs w:val="13"/>
                <w:color w:val="auto"/>
              </w:rPr>
              <w:t>$'000</w:t>
            </w:r>
          </w:p>
        </w:tc>
      </w:tr>
      <w:tr>
        <w:trPr>
          <w:trHeight w:val="170"/>
        </w:trPr>
        <w:tc>
          <w:tcPr>
            <w:tcW w:w="4940" w:type="dxa"/>
            <w:vAlign w:val="bottom"/>
            <w:shd w:val="clear" w:color="auto" w:fill="CCEEFF"/>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49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9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392</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r>
      <w:tr>
        <w:trPr>
          <w:trHeight w:val="168"/>
        </w:trPr>
        <w:tc>
          <w:tcPr>
            <w:tcW w:w="494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3920" w:type="dxa"/>
            <w:vAlign w:val="bottom"/>
          </w:tcPr>
          <w:p>
            <w:pPr>
              <w:jc w:val="right"/>
              <w:ind w:right="436"/>
              <w:spacing w:after="0"/>
              <w:rPr>
                <w:sz w:val="20"/>
                <w:szCs w:val="20"/>
                <w:color w:val="auto"/>
              </w:rPr>
            </w:pPr>
            <w:r>
              <w:rPr>
                <w:rFonts w:ascii="Arial" w:cs="Arial" w:eastAsia="Arial" w:hAnsi="Arial"/>
                <w:sz w:val="13"/>
                <w:szCs w:val="13"/>
                <w:color w:val="auto"/>
              </w:rPr>
              <w:t>39</w:t>
            </w:r>
          </w:p>
        </w:tc>
        <w:tc>
          <w:tcPr>
            <w:tcW w:w="1020" w:type="dxa"/>
            <w:vAlign w:val="bottom"/>
          </w:tcPr>
          <w:p>
            <w:pPr>
              <w:jc w:val="right"/>
              <w:spacing w:after="0"/>
              <w:rPr>
                <w:sz w:val="20"/>
                <w:szCs w:val="20"/>
                <w:color w:val="auto"/>
              </w:rPr>
            </w:pPr>
            <w:r>
              <w:rPr>
                <w:rFonts w:ascii="Arial" w:cs="Arial" w:eastAsia="Arial" w:hAnsi="Arial"/>
                <w:sz w:val="13"/>
                <w:szCs w:val="13"/>
                <w:color w:val="auto"/>
              </w:rPr>
              <w:t>(30)</w:t>
            </w:r>
          </w:p>
        </w:tc>
        <w:tc>
          <w:tcPr>
            <w:tcW w:w="13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0"/>
        </w:trPr>
        <w:tc>
          <w:tcPr>
            <w:tcW w:w="49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Loans to subsidiaries</w:t>
            </w:r>
          </w:p>
        </w:tc>
        <w:tc>
          <w:tcPr>
            <w:tcW w:w="39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50</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84"/>
        </w:trPr>
        <w:tc>
          <w:tcPr>
            <w:tcW w:w="49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9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481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423</w:t>
            </w:r>
          </w:p>
        </w:tc>
      </w:tr>
      <w:tr>
        <w:trPr>
          <w:trHeight w:val="182"/>
        </w:trPr>
        <w:tc>
          <w:tcPr>
            <w:tcW w:w="49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0"/>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9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68"/>
        </w:trPr>
        <w:tc>
          <w:tcPr>
            <w:tcW w:w="494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920" w:type="dxa"/>
            <w:vAlign w:val="bottom"/>
          </w:tcPr>
          <w:p>
            <w:pPr>
              <w:jc w:val="right"/>
              <w:ind w:right="396"/>
              <w:spacing w:after="0"/>
              <w:rPr>
                <w:sz w:val="20"/>
                <w:szCs w:val="20"/>
                <w:color w:val="auto"/>
              </w:rPr>
            </w:pPr>
            <w:r>
              <w:rPr>
                <w:rFonts w:ascii="Arial" w:cs="Arial" w:eastAsia="Arial" w:hAnsi="Arial"/>
                <w:sz w:val="13"/>
                <w:szCs w:val="13"/>
                <w:color w:val="auto"/>
              </w:rPr>
              <w:t>(11)</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9</w:t>
            </w:r>
          </w:p>
        </w:tc>
        <w:tc>
          <w:tcPr>
            <w:tcW w:w="13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expenses and payments on account</w:t>
            </w:r>
          </w:p>
        </w:tc>
        <w:tc>
          <w:tcPr>
            <w:tcW w:w="39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(19)</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49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39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(30)</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r>
      <w:tr>
        <w:trPr>
          <w:trHeight w:val="182"/>
        </w:trPr>
        <w:tc>
          <w:tcPr>
            <w:tcW w:w="49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1"/>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9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451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421</w:t>
            </w:r>
          </w:p>
        </w:tc>
      </w:tr>
    </w:tbl>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At 31 December 2020 and 31 December 2019 the Company had no operating loss carry forwards for income tax purposes. At 31 December 2020 the Company had an unrecognised deferred tax asset in respect of unutilised foreign tax credits carried forward of $6.6 million (2019: $5.7million).</w:t>
      </w:r>
    </w:p>
    <w:p>
      <w:pPr>
        <w:spacing w:after="0" w:line="359" w:lineRule="exact"/>
        <w:rPr>
          <w:sz w:val="20"/>
          <w:szCs w:val="20"/>
          <w:color w:val="auto"/>
        </w:rPr>
      </w:pPr>
    </w:p>
    <w:p>
      <w:pPr>
        <w:ind w:left="260" w:hanging="255"/>
        <w:spacing w:after="0"/>
        <w:tabs>
          <w:tab w:leader="none" w:pos="260" w:val="left"/>
        </w:tabs>
        <w:numPr>
          <w:ilvl w:val="0"/>
          <w:numId w:val="139"/>
        </w:numPr>
        <w:rPr>
          <w:rFonts w:ascii="Arial" w:cs="Arial" w:eastAsia="Arial" w:hAnsi="Arial"/>
          <w:sz w:val="13"/>
          <w:szCs w:val="13"/>
          <w:b w:val="1"/>
          <w:bCs w:val="1"/>
          <w:color w:val="auto"/>
        </w:rPr>
      </w:pPr>
      <w:r>
        <w:rPr>
          <w:rFonts w:ascii="Arial" w:cs="Arial" w:eastAsia="Arial" w:hAnsi="Arial"/>
          <w:sz w:val="13"/>
          <w:szCs w:val="13"/>
          <w:b w:val="1"/>
          <w:bCs w:val="1"/>
          <w:color w:val="auto"/>
        </w:rPr>
        <w:t>Other current assets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shd w:val="clear" w:color="auto" w:fill="CCEEFF"/>
          </w:tcPr>
          <w:p>
            <w:pPr>
              <w:spacing w:after="0"/>
              <w:rPr>
                <w:sz w:val="13"/>
                <w:szCs w:val="13"/>
                <w:color w:val="auto"/>
              </w:rPr>
            </w:pPr>
          </w:p>
        </w:tc>
        <w:tc>
          <w:tcPr>
            <w:tcW w:w="51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000" w:type="dxa"/>
            <w:vAlign w:val="bottom"/>
            <w:tcBorders>
              <w:bottom w:val="single" w:sz="8" w:color="auto"/>
            </w:tcBorders>
            <w:shd w:val="clear" w:color="auto" w:fill="CCEEFF"/>
          </w:tcPr>
          <w:p>
            <w:pPr>
              <w:spacing w:after="0"/>
              <w:rPr>
                <w:sz w:val="14"/>
                <w:szCs w:val="14"/>
                <w:color w:val="auto"/>
              </w:rPr>
            </w:pPr>
          </w:p>
        </w:tc>
        <w:tc>
          <w:tcPr>
            <w:tcW w:w="51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000" w:type="dxa"/>
            <w:vAlign w:val="bottom"/>
          </w:tcPr>
          <w:p>
            <w:pPr>
              <w:spacing w:after="0"/>
              <w:rPr>
                <w:sz w:val="13"/>
                <w:szCs w:val="13"/>
                <w:color w:val="auto"/>
              </w:rPr>
            </w:pPr>
          </w:p>
        </w:tc>
        <w:tc>
          <w:tcPr>
            <w:tcW w:w="51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00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69"/>
        </w:trPr>
        <w:tc>
          <w:tcPr>
            <w:tcW w:w="5000" w:type="dxa"/>
            <w:vAlign w:val="bottom"/>
          </w:tcPr>
          <w:p>
            <w:pPr>
              <w:ind w:left="20"/>
              <w:spacing w:after="0"/>
              <w:rPr>
                <w:sz w:val="20"/>
                <w:szCs w:val="20"/>
                <w:color w:val="auto"/>
              </w:rPr>
            </w:pPr>
            <w:r>
              <w:rPr>
                <w:rFonts w:ascii="Arial" w:cs="Arial" w:eastAsia="Arial" w:hAnsi="Arial"/>
                <w:sz w:val="13"/>
                <w:szCs w:val="13"/>
                <w:color w:val="auto"/>
              </w:rPr>
              <w:t>Prepayments</w:t>
            </w:r>
          </w:p>
        </w:tc>
        <w:tc>
          <w:tcPr>
            <w:tcW w:w="5140" w:type="dxa"/>
            <w:vAlign w:val="bottom"/>
          </w:tcPr>
          <w:p>
            <w:pPr>
              <w:jc w:val="right"/>
              <w:ind w:right="336"/>
              <w:spacing w:after="0"/>
              <w:rPr>
                <w:sz w:val="20"/>
                <w:szCs w:val="20"/>
                <w:color w:val="auto"/>
              </w:rPr>
            </w:pPr>
            <w:r>
              <w:rPr>
                <w:rFonts w:ascii="Arial" w:cs="Arial" w:eastAsia="Arial" w:hAnsi="Arial"/>
                <w:sz w:val="13"/>
                <w:szCs w:val="13"/>
                <w:b w:val="1"/>
                <w:bCs w:val="1"/>
                <w:color w:val="auto"/>
              </w:rPr>
              <w:t>192</w:t>
            </w:r>
          </w:p>
        </w:tc>
        <w:tc>
          <w:tcPr>
            <w:tcW w:w="1140" w:type="dxa"/>
            <w:vAlign w:val="bottom"/>
          </w:tcPr>
          <w:p>
            <w:pPr>
              <w:jc w:val="right"/>
              <w:spacing w:after="0"/>
              <w:rPr>
                <w:sz w:val="20"/>
                <w:szCs w:val="20"/>
                <w:color w:val="auto"/>
              </w:rPr>
            </w:pPr>
            <w:r>
              <w:rPr>
                <w:rFonts w:ascii="Arial" w:cs="Arial" w:eastAsia="Arial" w:hAnsi="Arial"/>
                <w:sz w:val="13"/>
                <w:szCs w:val="13"/>
                <w:color w:val="auto"/>
              </w:rPr>
              <w:t>264</w:t>
            </w:r>
          </w:p>
        </w:tc>
      </w:tr>
      <w:tr>
        <w:trPr>
          <w:trHeight w:val="17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5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1,239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1,450</w:t>
            </w:r>
          </w:p>
        </w:tc>
      </w:tr>
      <w:tr>
        <w:trPr>
          <w:trHeight w:val="182"/>
        </w:trPr>
        <w:tc>
          <w:tcPr>
            <w:tcW w:w="50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1"/>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5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1,431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1,714</w:t>
            </w:r>
          </w:p>
        </w:tc>
      </w:tr>
    </w:tbl>
    <w:p>
      <w:pPr>
        <w:spacing w:after="0" w:line="200" w:lineRule="exact"/>
        <w:rPr>
          <w:sz w:val="20"/>
          <w:szCs w:val="20"/>
          <w:color w:val="auto"/>
        </w:rPr>
      </w:pPr>
    </w:p>
    <w:p>
      <w:pPr>
        <w:spacing w:after="0" w:line="242" w:lineRule="exact"/>
        <w:rPr>
          <w:sz w:val="20"/>
          <w:szCs w:val="20"/>
          <w:color w:val="auto"/>
        </w:rPr>
      </w:pPr>
    </w:p>
    <w:p>
      <w:pPr>
        <w:ind w:left="240" w:hanging="235"/>
        <w:spacing w:after="0"/>
        <w:tabs>
          <w:tab w:leader="none" w:pos="240"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Amounts due from/to subsidiary undertakings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shd w:val="clear" w:color="auto" w:fill="CCEEFF"/>
          </w:tcPr>
          <w:p>
            <w:pPr>
              <w:spacing w:after="0"/>
              <w:rPr>
                <w:sz w:val="12"/>
                <w:szCs w:val="12"/>
                <w:color w:val="auto"/>
              </w:rPr>
            </w:pPr>
          </w:p>
        </w:tc>
        <w:tc>
          <w:tcPr>
            <w:tcW w:w="44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700" w:type="dxa"/>
            <w:vAlign w:val="bottom"/>
            <w:tcBorders>
              <w:bottom w:val="single" w:sz="8" w:color="auto"/>
            </w:tcBorders>
            <w:shd w:val="clear" w:color="auto" w:fill="CCEEFF"/>
          </w:tcPr>
          <w:p>
            <w:pPr>
              <w:spacing w:after="0"/>
              <w:rPr>
                <w:sz w:val="14"/>
                <w:szCs w:val="14"/>
                <w:color w:val="auto"/>
              </w:rPr>
            </w:pPr>
          </w:p>
        </w:tc>
        <w:tc>
          <w:tcPr>
            <w:tcW w:w="4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700" w:type="dxa"/>
            <w:vAlign w:val="bottom"/>
          </w:tcPr>
          <w:p>
            <w:pPr>
              <w:spacing w:after="0"/>
              <w:rPr>
                <w:sz w:val="13"/>
                <w:szCs w:val="13"/>
                <w:color w:val="auto"/>
              </w:rPr>
            </w:pPr>
          </w:p>
        </w:tc>
        <w:tc>
          <w:tcPr>
            <w:tcW w:w="44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70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69"/>
        </w:trPr>
        <w:tc>
          <w:tcPr>
            <w:tcW w:w="5700" w:type="dxa"/>
            <w:vAlign w:val="bottom"/>
          </w:tcPr>
          <w:p>
            <w:pPr>
              <w:ind w:left="20"/>
              <w:spacing w:after="0"/>
              <w:rPr>
                <w:sz w:val="20"/>
                <w:szCs w:val="20"/>
                <w:color w:val="auto"/>
              </w:rPr>
            </w:pPr>
            <w:r>
              <w:rPr>
                <w:rFonts w:ascii="Arial" w:cs="Arial" w:eastAsia="Arial" w:hAnsi="Arial"/>
                <w:sz w:val="13"/>
                <w:szCs w:val="13"/>
                <w:color w:val="auto"/>
              </w:rPr>
              <w:t>Amounts due from subsidiary undertakings</w:t>
            </w:r>
          </w:p>
        </w:tc>
        <w:tc>
          <w:tcPr>
            <w:tcW w:w="4440" w:type="dxa"/>
            <w:vAlign w:val="bottom"/>
          </w:tcPr>
          <w:p>
            <w:pPr>
              <w:jc w:val="right"/>
              <w:ind w:right="336"/>
              <w:spacing w:after="0"/>
              <w:rPr>
                <w:sz w:val="20"/>
                <w:szCs w:val="20"/>
                <w:color w:val="auto"/>
              </w:rPr>
            </w:pPr>
            <w:r>
              <w:rPr>
                <w:rFonts w:ascii="Arial" w:cs="Arial" w:eastAsia="Arial" w:hAnsi="Arial"/>
                <w:sz w:val="13"/>
                <w:szCs w:val="13"/>
                <w:b w:val="1"/>
                <w:bCs w:val="1"/>
                <w:color w:val="auto"/>
              </w:rPr>
              <w:t>164,992</w:t>
            </w:r>
          </w:p>
        </w:tc>
        <w:tc>
          <w:tcPr>
            <w:tcW w:w="1140" w:type="dxa"/>
            <w:vAlign w:val="bottom"/>
          </w:tcPr>
          <w:p>
            <w:pPr>
              <w:jc w:val="right"/>
              <w:spacing w:after="0"/>
              <w:rPr>
                <w:sz w:val="20"/>
                <w:szCs w:val="20"/>
                <w:color w:val="auto"/>
              </w:rPr>
            </w:pPr>
            <w:r>
              <w:rPr>
                <w:rFonts w:ascii="Arial" w:cs="Arial" w:eastAsia="Arial" w:hAnsi="Arial"/>
                <w:sz w:val="13"/>
                <w:szCs w:val="13"/>
                <w:color w:val="auto"/>
              </w:rPr>
              <w:t>554,169</w:t>
            </w:r>
          </w:p>
        </w:tc>
      </w:tr>
      <w:tr>
        <w:trPr>
          <w:trHeight w:val="171"/>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Amounts due to subsidiary undertakings</w:t>
            </w:r>
          </w:p>
        </w:tc>
        <w:tc>
          <w:tcPr>
            <w:tcW w:w="44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(1,305)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(2,916)</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Amounts owed by subsidiary undertakings are non-interest bearing and repayable on demand. All amounts fall due within one year. No allowance for expected credit losses has been recorded as amounts are expected to be fully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80"/>
          </w:cols>
          <w:pgMar w:left="300" w:top="696" w:right="3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tabs>
          <w:tab w:leader="none" w:pos="220" w:val="left"/>
        </w:tabs>
        <w:rPr>
          <w:sz w:val="20"/>
          <w:szCs w:val="20"/>
          <w:color w:val="auto"/>
        </w:rPr>
      </w:pPr>
      <w:r>
        <w:rPr>
          <w:rFonts w:ascii="Arial" w:cs="Arial" w:eastAsia="Arial" w:hAnsi="Arial"/>
          <w:sz w:val="13"/>
          <w:szCs w:val="13"/>
          <w:b w:val="1"/>
          <w:bCs w:val="1"/>
          <w:color w:val="auto"/>
        </w:rPr>
        <w:t>7.</w:t>
      </w:r>
      <w:r>
        <w:rPr>
          <w:sz w:val="20"/>
          <w:szCs w:val="20"/>
          <w:color w:val="auto"/>
        </w:rPr>
        <w:tab/>
      </w:r>
      <w:r>
        <w:rPr>
          <w:rFonts w:ascii="Arial" w:cs="Arial" w:eastAsia="Arial" w:hAnsi="Arial"/>
          <w:sz w:val="12"/>
          <w:szCs w:val="12"/>
          <w:b w:val="1"/>
          <w:bCs w:val="1"/>
          <w:color w:val="auto"/>
        </w:rPr>
        <w:t>Accrued and other liabilities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20" w:type="dxa"/>
            <w:vAlign w:val="bottom"/>
            <w:shd w:val="clear" w:color="auto" w:fill="CCEEFF"/>
          </w:tcPr>
          <w:p>
            <w:pPr>
              <w:spacing w:after="0"/>
              <w:rPr>
                <w:sz w:val="13"/>
                <w:szCs w:val="13"/>
                <w:color w:val="auto"/>
              </w:rPr>
            </w:pPr>
          </w:p>
        </w:tc>
        <w:tc>
          <w:tcPr>
            <w:tcW w:w="29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7220" w:type="dxa"/>
            <w:vAlign w:val="bottom"/>
            <w:tcBorders>
              <w:bottom w:val="single" w:sz="8" w:color="auto"/>
            </w:tcBorders>
            <w:shd w:val="clear" w:color="auto" w:fill="CCEEFF"/>
          </w:tcPr>
          <w:p>
            <w:pPr>
              <w:spacing w:after="0"/>
              <w:rPr>
                <w:sz w:val="14"/>
                <w:szCs w:val="14"/>
                <w:color w:val="auto"/>
              </w:rPr>
            </w:pPr>
          </w:p>
        </w:tc>
        <w:tc>
          <w:tcPr>
            <w:tcW w:w="29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7220" w:type="dxa"/>
            <w:vAlign w:val="bottom"/>
          </w:tcPr>
          <w:p>
            <w:pPr>
              <w:spacing w:after="0"/>
              <w:rPr>
                <w:sz w:val="13"/>
                <w:szCs w:val="13"/>
                <w:color w:val="auto"/>
              </w:rPr>
            </w:pPr>
          </w:p>
        </w:tc>
        <w:tc>
          <w:tcPr>
            <w:tcW w:w="29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7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lease liabilities</w:t>
            </w:r>
          </w:p>
        </w:tc>
        <w:tc>
          <w:tcPr>
            <w:tcW w:w="29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2,108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w:t>
            </w:r>
          </w:p>
        </w:tc>
      </w:tr>
      <w:tr>
        <w:trPr>
          <w:trHeight w:val="169"/>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other liabilities</w:t>
            </w:r>
          </w:p>
        </w:tc>
        <w:tc>
          <w:tcPr>
            <w:tcW w:w="2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5,471</w:t>
            </w:r>
          </w:p>
        </w:tc>
      </w:tr>
      <w:tr>
        <w:trPr>
          <w:trHeight w:val="182"/>
        </w:trPr>
        <w:tc>
          <w:tcPr>
            <w:tcW w:w="72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9"/>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8,130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8,586</w:t>
            </w:r>
          </w:p>
        </w:tc>
      </w:tr>
      <w:tr>
        <w:trPr>
          <w:trHeight w:val="267"/>
        </w:trPr>
        <w:tc>
          <w:tcPr>
            <w:tcW w:w="72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27"/>
        </w:trPr>
        <w:tc>
          <w:tcPr>
            <w:tcW w:w="7220" w:type="dxa"/>
            <w:vAlign w:val="bottom"/>
            <w:shd w:val="clear" w:color="auto" w:fill="CCEEFF"/>
          </w:tcPr>
          <w:p>
            <w:pPr>
              <w:spacing w:after="0"/>
              <w:rPr>
                <w:sz w:val="11"/>
                <w:szCs w:val="11"/>
                <w:color w:val="auto"/>
              </w:rPr>
            </w:pPr>
          </w:p>
        </w:tc>
        <w:tc>
          <w:tcPr>
            <w:tcW w:w="292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69"/>
        </w:trPr>
        <w:tc>
          <w:tcPr>
            <w:tcW w:w="7220" w:type="dxa"/>
            <w:vAlign w:val="bottom"/>
            <w:tcBorders>
              <w:bottom w:val="single" w:sz="8" w:color="auto"/>
            </w:tcBorders>
            <w:shd w:val="clear" w:color="auto" w:fill="CCEEFF"/>
          </w:tcPr>
          <w:p>
            <w:pPr>
              <w:spacing w:after="0"/>
              <w:rPr>
                <w:sz w:val="14"/>
                <w:szCs w:val="14"/>
                <w:color w:val="auto"/>
              </w:rPr>
            </w:pPr>
          </w:p>
        </w:tc>
        <w:tc>
          <w:tcPr>
            <w:tcW w:w="29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7220" w:type="dxa"/>
            <w:vAlign w:val="bottom"/>
          </w:tcPr>
          <w:p>
            <w:pPr>
              <w:spacing w:after="0"/>
              <w:rPr>
                <w:sz w:val="13"/>
                <w:szCs w:val="13"/>
                <w:color w:val="auto"/>
              </w:rPr>
            </w:pPr>
          </w:p>
        </w:tc>
        <w:tc>
          <w:tcPr>
            <w:tcW w:w="29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7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lease liabilities</w:t>
            </w:r>
          </w:p>
        </w:tc>
        <w:tc>
          <w:tcPr>
            <w:tcW w:w="29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1,410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r>
      <w:tr>
        <w:trPr>
          <w:trHeight w:val="169"/>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Accruals and other liabilities</w:t>
            </w:r>
          </w:p>
        </w:tc>
        <w:tc>
          <w:tcPr>
            <w:tcW w:w="2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9,875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10,426</w:t>
            </w:r>
          </w:p>
        </w:tc>
      </w:tr>
      <w:tr>
        <w:trPr>
          <w:trHeight w:val="182"/>
        </w:trPr>
        <w:tc>
          <w:tcPr>
            <w:tcW w:w="72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11,285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11,749</w:t>
            </w:r>
          </w:p>
        </w:tc>
      </w:tr>
      <w:tr>
        <w:trPr>
          <w:trHeight w:val="420"/>
        </w:trPr>
        <w:tc>
          <w:tcPr>
            <w:tcW w:w="7220" w:type="dxa"/>
            <w:vAlign w:val="bottom"/>
          </w:tcPr>
          <w:p>
            <w:pPr>
              <w:spacing w:after="0"/>
              <w:rPr>
                <w:sz w:val="20"/>
                <w:szCs w:val="20"/>
                <w:color w:val="auto"/>
              </w:rPr>
            </w:pPr>
            <w:r>
              <w:rPr>
                <w:rFonts w:ascii="Arial" w:cs="Arial" w:eastAsia="Arial" w:hAnsi="Arial"/>
                <w:sz w:val="13"/>
                <w:szCs w:val="13"/>
                <w:b w:val="1"/>
                <w:bCs w:val="1"/>
                <w:color w:val="auto"/>
              </w:rPr>
              <w:t>8.  Related parties</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0"/>
        </w:trPr>
        <w:tc>
          <w:tcPr>
            <w:tcW w:w="7220" w:type="dxa"/>
            <w:vAlign w:val="bottom"/>
          </w:tcPr>
          <w:p>
            <w:pPr>
              <w:spacing w:after="0"/>
              <w:rPr>
                <w:sz w:val="20"/>
                <w:szCs w:val="20"/>
                <w:color w:val="auto"/>
              </w:rPr>
            </w:pPr>
            <w:r>
              <w:rPr>
                <w:rFonts w:ascii="Arial" w:cs="Arial" w:eastAsia="Arial" w:hAnsi="Arial"/>
                <w:sz w:val="13"/>
                <w:szCs w:val="13"/>
                <w:color w:val="auto"/>
              </w:rPr>
              <w:t>The Company entered into the following transactions with subsidiary companies during the period:</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9"/>
        </w:trPr>
        <w:tc>
          <w:tcPr>
            <w:tcW w:w="7220" w:type="dxa"/>
            <w:vAlign w:val="bottom"/>
          </w:tcPr>
          <w:p>
            <w:pPr>
              <w:spacing w:after="0"/>
              <w:rPr>
                <w:sz w:val="7"/>
                <w:szCs w:val="7"/>
                <w:color w:val="auto"/>
              </w:rPr>
            </w:pPr>
          </w:p>
        </w:tc>
        <w:tc>
          <w:tcPr>
            <w:tcW w:w="4060" w:type="dxa"/>
            <w:vAlign w:val="bottom"/>
            <w:gridSpan w:val="2"/>
          </w:tcPr>
          <w:p>
            <w:pPr>
              <w:spacing w:after="0"/>
              <w:rPr>
                <w:sz w:val="7"/>
                <w:szCs w:val="7"/>
                <w:color w:val="auto"/>
              </w:rPr>
            </w:pPr>
          </w:p>
        </w:tc>
      </w:tr>
      <w:tr>
        <w:trPr>
          <w:trHeight w:val="127"/>
        </w:trPr>
        <w:tc>
          <w:tcPr>
            <w:tcW w:w="7220" w:type="dxa"/>
            <w:vAlign w:val="bottom"/>
            <w:shd w:val="clear" w:color="auto" w:fill="CCEEFF"/>
          </w:tcPr>
          <w:p>
            <w:pPr>
              <w:spacing w:after="0"/>
              <w:rPr>
                <w:sz w:val="11"/>
                <w:szCs w:val="11"/>
                <w:color w:val="auto"/>
              </w:rPr>
            </w:pPr>
          </w:p>
        </w:tc>
        <w:tc>
          <w:tcPr>
            <w:tcW w:w="40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27"/>
        </w:trPr>
        <w:tc>
          <w:tcPr>
            <w:tcW w:w="7220" w:type="dxa"/>
            <w:vAlign w:val="bottom"/>
            <w:shd w:val="clear" w:color="auto" w:fill="CCEEFF"/>
          </w:tcPr>
          <w:p>
            <w:pPr>
              <w:spacing w:after="0"/>
              <w:rPr>
                <w:sz w:val="11"/>
                <w:szCs w:val="11"/>
                <w:color w:val="auto"/>
              </w:rPr>
            </w:pPr>
          </w:p>
        </w:tc>
        <w:tc>
          <w:tcPr>
            <w:tcW w:w="292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2019</w:t>
            </w:r>
          </w:p>
        </w:tc>
      </w:tr>
      <w:tr>
        <w:trPr>
          <w:trHeight w:val="169"/>
        </w:trPr>
        <w:tc>
          <w:tcPr>
            <w:tcW w:w="7220" w:type="dxa"/>
            <w:vAlign w:val="bottom"/>
            <w:tcBorders>
              <w:bottom w:val="single" w:sz="8" w:color="auto"/>
            </w:tcBorders>
            <w:shd w:val="clear" w:color="auto" w:fill="CCEEFF"/>
          </w:tcPr>
          <w:p>
            <w:pPr>
              <w:spacing w:after="0"/>
              <w:rPr>
                <w:sz w:val="14"/>
                <w:szCs w:val="14"/>
                <w:color w:val="auto"/>
              </w:rPr>
            </w:pPr>
          </w:p>
        </w:tc>
        <w:tc>
          <w:tcPr>
            <w:tcW w:w="29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shd w:val="clear" w:color="auto" w:fill="CCEEFF"/>
          </w:tcPr>
          <w:p>
            <w:pPr>
              <w:spacing w:after="0"/>
              <w:rPr>
                <w:sz w:val="14"/>
                <w:szCs w:val="14"/>
                <w:color w:val="auto"/>
              </w:rPr>
            </w:pPr>
          </w:p>
        </w:tc>
      </w:tr>
      <w:tr>
        <w:trPr>
          <w:trHeight w:val="160"/>
        </w:trPr>
        <w:tc>
          <w:tcPr>
            <w:tcW w:w="7220" w:type="dxa"/>
            <w:vAlign w:val="bottom"/>
          </w:tcPr>
          <w:p>
            <w:pPr>
              <w:spacing w:after="0"/>
              <w:rPr>
                <w:sz w:val="13"/>
                <w:szCs w:val="13"/>
                <w:color w:val="auto"/>
              </w:rPr>
            </w:pPr>
          </w:p>
        </w:tc>
        <w:tc>
          <w:tcPr>
            <w:tcW w:w="29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7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Statement of Profit and Loss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 recharged to subsidiary companies</w:t>
            </w:r>
          </w:p>
        </w:tc>
        <w:tc>
          <w:tcPr>
            <w:tcW w:w="29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5,953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9,806</w:t>
            </w:r>
          </w:p>
        </w:tc>
      </w:tr>
      <w:tr>
        <w:trPr>
          <w:trHeight w:val="169"/>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 xml:space="preserve">Dividend received from subsidiary company </w:t>
            </w:r>
            <w:r>
              <w:rPr>
                <w:rFonts w:ascii="Arial" w:cs="Arial" w:eastAsia="Arial" w:hAnsi="Arial"/>
                <w:sz w:val="13"/>
                <w:szCs w:val="13"/>
                <w:i w:val="1"/>
                <w:iCs w:val="1"/>
                <w:color w:val="auto"/>
              </w:rPr>
              <w:t>(a)</w:t>
            </w:r>
          </w:p>
        </w:tc>
        <w:tc>
          <w:tcPr>
            <w:tcW w:w="2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233,927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276,900</w:t>
            </w:r>
          </w:p>
        </w:tc>
      </w:tr>
      <w:tr>
        <w:trPr>
          <w:trHeight w:val="182"/>
        </w:trPr>
        <w:tc>
          <w:tcPr>
            <w:tcW w:w="72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239,880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286,706</w:t>
            </w:r>
          </w:p>
        </w:tc>
      </w:tr>
      <w:tr>
        <w:trPr>
          <w:trHeight w:val="191"/>
        </w:trPr>
        <w:tc>
          <w:tcPr>
            <w:tcW w:w="722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Statement of Cash Flows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Decrease/ (Increase) in amounts due from/to subsidiary undertakings</w:t>
            </w:r>
          </w:p>
        </w:tc>
        <w:tc>
          <w:tcPr>
            <w:tcW w:w="29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424,379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(77,935)</w:t>
            </w:r>
          </w:p>
        </w:tc>
      </w:tr>
      <w:tr>
        <w:trPr>
          <w:trHeight w:val="182"/>
        </w:trPr>
        <w:tc>
          <w:tcPr>
            <w:tcW w:w="72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1"/>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424,379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(77,935)</w:t>
            </w:r>
          </w:p>
        </w:tc>
      </w:tr>
    </w:tbl>
    <w:p>
      <w:pPr>
        <w:spacing w:after="0" w:line="65" w:lineRule="exact"/>
        <w:rPr>
          <w:sz w:val="20"/>
          <w:szCs w:val="20"/>
          <w:color w:val="auto"/>
        </w:rPr>
      </w:pPr>
    </w:p>
    <w:p>
      <w:pPr>
        <w:ind w:left="380" w:hanging="375"/>
        <w:spacing w:after="0" w:line="244" w:lineRule="auto"/>
        <w:tabs>
          <w:tab w:leader="none" w:pos="376" w:val="left"/>
        </w:tabs>
        <w:numPr>
          <w:ilvl w:val="0"/>
          <w:numId w:val="141"/>
        </w:numPr>
        <w:rPr>
          <w:rFonts w:ascii="Arial" w:cs="Arial" w:eastAsia="Arial" w:hAnsi="Arial"/>
          <w:sz w:val="13"/>
          <w:szCs w:val="13"/>
          <w:i w:val="1"/>
          <w:iCs w:val="1"/>
          <w:color w:val="auto"/>
        </w:rPr>
      </w:pPr>
      <w:r>
        <w:rPr>
          <w:rFonts w:ascii="Arial" w:cs="Arial" w:eastAsia="Arial" w:hAnsi="Arial"/>
          <w:sz w:val="13"/>
          <w:szCs w:val="13"/>
          <w:color w:val="auto"/>
        </w:rPr>
        <w:t>During 2020, the Company received dividends of $233.9 million (2019: $276.9 million) from its subsidiary undertakings; ICON Clinical Research Limited ($214.5 million) and ICON Investments Four Unlimited Company ($19.4million).</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 xml:space="preserve">Directors and Executive Officers of the Parent Company are the same as those for the Group. For information on transactions with Directors and Executive Officers see </w:t>
      </w:r>
      <w:r>
        <w:rPr>
          <w:rFonts w:ascii="Arial" w:cs="Arial" w:eastAsia="Arial" w:hAnsi="Arial"/>
          <w:sz w:val="13"/>
          <w:szCs w:val="13"/>
          <w:i w:val="1"/>
          <w:iCs w:val="1"/>
          <w:color w:val="auto"/>
        </w:rPr>
        <w:t>note 30 Related parties</w:t>
      </w:r>
      <w:r>
        <w:rPr>
          <w:rFonts w:ascii="Arial" w:cs="Arial" w:eastAsia="Arial" w:hAnsi="Arial"/>
          <w:sz w:val="13"/>
          <w:szCs w:val="13"/>
          <w:color w:val="auto"/>
        </w:rPr>
        <w:t xml:space="preserve">, to the Consolidated Financial Statements, and for information on Directors’ remuneration see </w:t>
      </w:r>
      <w:r>
        <w:rPr>
          <w:rFonts w:ascii="Arial" w:cs="Arial" w:eastAsia="Arial" w:hAnsi="Arial"/>
          <w:sz w:val="13"/>
          <w:szCs w:val="13"/>
          <w:i w:val="1"/>
          <w:iCs w:val="1"/>
          <w:color w:val="auto"/>
        </w:rPr>
        <w:t>note 9 Payroll and related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80"/>
          </w:cols>
          <w:pgMar w:left="300" w:top="696"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b w:val="1"/>
          <w:bCs w:val="1"/>
          <w:color w:val="auto"/>
        </w:rPr>
        <w:t>Leases</w:t>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the following right-of-use assets: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Premises</w:t>
            </w:r>
          </w:p>
        </w:tc>
        <w:tc>
          <w:tcPr>
            <w:tcW w:w="16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Equipment</w:t>
            </w:r>
          </w:p>
        </w:tc>
        <w:tc>
          <w:tcPr>
            <w:tcW w:w="20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b w:val="1"/>
                <w:bCs w:val="1"/>
                <w:color w:val="auto"/>
              </w:rPr>
              <w:t>Motor vehicles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5020" w:type="dxa"/>
            <w:vAlign w:val="bottom"/>
          </w:tcPr>
          <w:p>
            <w:pPr>
              <w:spacing w:after="0"/>
              <w:rPr>
                <w:sz w:val="13"/>
                <w:szCs w:val="13"/>
                <w:color w:val="auto"/>
              </w:rPr>
            </w:pPr>
          </w:p>
        </w:tc>
        <w:tc>
          <w:tcPr>
            <w:tcW w:w="152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164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2020" w:type="dxa"/>
            <w:vAlign w:val="bottom"/>
          </w:tcPr>
          <w:p>
            <w:pPr>
              <w:jc w:val="center"/>
              <w:ind w:left="256"/>
              <w:spacing w:after="0"/>
              <w:rPr>
                <w:sz w:val="20"/>
                <w:szCs w:val="20"/>
                <w:color w:val="auto"/>
              </w:rPr>
            </w:pPr>
            <w:r>
              <w:rPr>
                <w:rFonts w:ascii="Arial" w:cs="Arial" w:eastAsia="Arial" w:hAnsi="Arial"/>
                <w:sz w:val="13"/>
                <w:szCs w:val="13"/>
                <w:b w:val="1"/>
                <w:bCs w:val="1"/>
                <w:color w:val="auto"/>
                <w:w w:val="93"/>
              </w:rPr>
              <w:t>$'000</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68"/>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Depreciation charge for the 2020</w:t>
            </w:r>
          </w:p>
        </w:tc>
        <w:tc>
          <w:tcPr>
            <w:tcW w:w="15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1,083</w:t>
            </w:r>
          </w:p>
        </w:tc>
        <w:tc>
          <w:tcPr>
            <w:tcW w:w="16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38</w:t>
            </w:r>
          </w:p>
        </w:tc>
        <w:tc>
          <w:tcPr>
            <w:tcW w:w="2020" w:type="dxa"/>
            <w:vAlign w:val="bottom"/>
            <w:tcBorders>
              <w:bottom w:val="single" w:sz="8" w:color="auto"/>
            </w:tcBorders>
            <w:shd w:val="clear" w:color="auto" w:fill="CCEEFF"/>
          </w:tcPr>
          <w:p>
            <w:pPr>
              <w:jc w:val="center"/>
              <w:ind w:left="276"/>
              <w:spacing w:after="0"/>
              <w:rPr>
                <w:sz w:val="20"/>
                <w:szCs w:val="20"/>
                <w:color w:val="auto"/>
              </w:rPr>
            </w:pPr>
            <w:r>
              <w:rPr>
                <w:rFonts w:ascii="Arial" w:cs="Arial" w:eastAsia="Arial" w:hAnsi="Arial"/>
                <w:sz w:val="13"/>
                <w:szCs w:val="13"/>
                <w:color w:val="auto"/>
                <w:w w:val="92"/>
              </w:rPr>
              <w:t>426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1,547</w:t>
            </w:r>
          </w:p>
        </w:tc>
      </w:tr>
      <w:tr>
        <w:trPr>
          <w:trHeight w:val="16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December 31, 2020</w:t>
            </w: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2,900</w:t>
            </w:r>
          </w:p>
        </w:tc>
        <w:tc>
          <w:tcPr>
            <w:tcW w:w="16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39</w:t>
            </w:r>
          </w:p>
        </w:tc>
        <w:tc>
          <w:tcPr>
            <w:tcW w:w="202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color w:val="auto"/>
                <w:w w:val="92"/>
              </w:rPr>
              <w:t>243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3,182</w:t>
            </w:r>
          </w:p>
        </w:tc>
      </w:tr>
      <w:tr>
        <w:trPr>
          <w:trHeight w:val="16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Depreciation charge for the 2019</w:t>
            </w:r>
          </w:p>
        </w:tc>
        <w:tc>
          <w:tcPr>
            <w:tcW w:w="15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1,016</w:t>
            </w:r>
          </w:p>
        </w:tc>
        <w:tc>
          <w:tcPr>
            <w:tcW w:w="16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23</w:t>
            </w:r>
          </w:p>
        </w:tc>
        <w:tc>
          <w:tcPr>
            <w:tcW w:w="2020" w:type="dxa"/>
            <w:vAlign w:val="bottom"/>
            <w:tcBorders>
              <w:bottom w:val="single" w:sz="8" w:color="auto"/>
            </w:tcBorders>
            <w:shd w:val="clear" w:color="auto" w:fill="CCEEFF"/>
          </w:tcPr>
          <w:p>
            <w:pPr>
              <w:jc w:val="center"/>
              <w:ind w:left="276"/>
              <w:spacing w:after="0"/>
              <w:rPr>
                <w:sz w:val="20"/>
                <w:szCs w:val="20"/>
                <w:color w:val="auto"/>
              </w:rPr>
            </w:pPr>
            <w:r>
              <w:rPr>
                <w:rFonts w:ascii="Arial" w:cs="Arial" w:eastAsia="Arial" w:hAnsi="Arial"/>
                <w:sz w:val="13"/>
                <w:szCs w:val="13"/>
                <w:color w:val="auto"/>
                <w:w w:val="92"/>
              </w:rPr>
              <w:t>472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1,511</w:t>
            </w:r>
          </w:p>
        </w:tc>
      </w:tr>
      <w:tr>
        <w:trPr>
          <w:trHeight w:val="16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December 31, 2019</w:t>
            </w: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3,840</w:t>
            </w:r>
          </w:p>
        </w:tc>
        <w:tc>
          <w:tcPr>
            <w:tcW w:w="16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41</w:t>
            </w:r>
          </w:p>
        </w:tc>
        <w:tc>
          <w:tcPr>
            <w:tcW w:w="202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color w:val="auto"/>
                <w:w w:val="92"/>
              </w:rPr>
              <w:t>405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4,286</w:t>
            </w:r>
          </w:p>
        </w:tc>
      </w:tr>
      <w:tr>
        <w:trPr>
          <w:trHeight w:val="275"/>
        </w:trPr>
        <w:tc>
          <w:tcPr>
            <w:tcW w:w="5020" w:type="dxa"/>
            <w:vAlign w:val="bottom"/>
          </w:tcPr>
          <w:p>
            <w:pPr>
              <w:spacing w:after="0"/>
              <w:rPr>
                <w:sz w:val="20"/>
                <w:szCs w:val="20"/>
                <w:color w:val="auto"/>
              </w:rPr>
            </w:pPr>
            <w:r>
              <w:rPr>
                <w:rFonts w:ascii="Arial" w:cs="Arial" w:eastAsia="Arial" w:hAnsi="Arial"/>
                <w:sz w:val="13"/>
                <w:szCs w:val="13"/>
                <w:color w:val="auto"/>
              </w:rPr>
              <w:t>Additions to right-of-use assets during 2020 were $0.3 million (2019: $</w:t>
            </w:r>
            <w:r>
              <w:rPr>
                <w:rFonts w:ascii="Arial" w:cs="Arial" w:eastAsia="Arial" w:hAnsi="Arial"/>
                <w:sz w:val="13"/>
                <w:szCs w:val="13"/>
                <w:b w:val="1"/>
                <w:bCs w:val="1"/>
                <w:color w:val="auto"/>
              </w:rPr>
              <w:t>0.5</w:t>
            </w:r>
            <w:r>
              <w:rPr>
                <w:rFonts w:ascii="Arial" w:cs="Arial" w:eastAsia="Arial" w:hAnsi="Arial"/>
                <w:sz w:val="13"/>
                <w:szCs w:val="13"/>
                <w:color w:val="auto"/>
              </w:rPr>
              <w:t xml:space="preserve"> million).</w:t>
            </w:r>
          </w:p>
        </w:tc>
        <w:tc>
          <w:tcPr>
            <w:tcW w:w="1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6540" w:type="dxa"/>
            <w:vAlign w:val="bottom"/>
            <w:gridSpan w:val="2"/>
          </w:tcPr>
          <w:p>
            <w:pPr>
              <w:spacing w:after="0"/>
              <w:rPr>
                <w:sz w:val="20"/>
                <w:szCs w:val="20"/>
                <w:color w:val="auto"/>
              </w:rPr>
            </w:pPr>
            <w:r>
              <w:rPr>
                <w:rFonts w:ascii="Arial" w:cs="Arial" w:eastAsia="Arial" w:hAnsi="Arial"/>
                <w:sz w:val="13"/>
                <w:szCs w:val="13"/>
                <w:color w:val="auto"/>
              </w:rPr>
              <w:t>The weighted average remaining lease term as at 31 December 2020 is 2.70 years (2019: 3.50 years).</w:t>
            </w:r>
          </w:p>
        </w:tc>
        <w:tc>
          <w:tcPr>
            <w:tcW w:w="16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5020" w:type="dxa"/>
            <w:vAlign w:val="bottom"/>
          </w:tcPr>
          <w:p>
            <w:pPr>
              <w:spacing w:after="0"/>
              <w:rPr>
                <w:sz w:val="20"/>
                <w:szCs w:val="20"/>
                <w:color w:val="auto"/>
              </w:rPr>
            </w:pPr>
            <w:r>
              <w:rPr>
                <w:rFonts w:ascii="Arial" w:cs="Arial" w:eastAsia="Arial" w:hAnsi="Arial"/>
                <w:sz w:val="13"/>
                <w:szCs w:val="13"/>
                <w:b w:val="1"/>
                <w:bCs w:val="1"/>
                <w:i w:val="1"/>
                <w:iCs w:val="1"/>
                <w:color w:val="auto"/>
              </w:rPr>
              <w:t>Lease liabilities</w:t>
            </w:r>
          </w:p>
        </w:tc>
        <w:tc>
          <w:tcPr>
            <w:tcW w:w="1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6540" w:type="dxa"/>
            <w:vAlign w:val="bottom"/>
            <w:gridSpan w:val="2"/>
          </w:tcPr>
          <w:p>
            <w:pPr>
              <w:spacing w:after="0"/>
              <w:rPr>
                <w:sz w:val="20"/>
                <w:szCs w:val="20"/>
                <w:color w:val="auto"/>
              </w:rPr>
            </w:pPr>
            <w:r>
              <w:rPr>
                <w:rFonts w:ascii="Arial" w:cs="Arial" w:eastAsia="Arial" w:hAnsi="Arial"/>
                <w:sz w:val="13"/>
                <w:szCs w:val="13"/>
                <w:color w:val="auto"/>
              </w:rPr>
              <w:t>Future minimum lease payments under non-cancellable leases as of 31 December 2020 were as follows:</w:t>
            </w:r>
          </w:p>
        </w:tc>
        <w:tc>
          <w:tcPr>
            <w:tcW w:w="16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80" w:type="dxa"/>
            <w:vAlign w:val="bottom"/>
          </w:tcPr>
          <w:p>
            <w:pPr>
              <w:spacing w:after="0"/>
              <w:rPr>
                <w:sz w:val="23"/>
                <w:szCs w:val="23"/>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shd w:val="clear" w:color="auto" w:fill="CCEEFF"/>
          </w:tcPr>
          <w:p>
            <w:pPr>
              <w:spacing w:after="0"/>
              <w:rPr>
                <w:sz w:val="14"/>
                <w:szCs w:val="14"/>
                <w:color w:val="auto"/>
              </w:rPr>
            </w:pPr>
          </w:p>
        </w:tc>
        <w:tc>
          <w:tcPr>
            <w:tcW w:w="5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Minimum rental</w:t>
            </w:r>
          </w:p>
        </w:tc>
      </w:tr>
      <w:tr>
        <w:trPr>
          <w:trHeight w:val="169"/>
        </w:trPr>
        <w:tc>
          <w:tcPr>
            <w:tcW w:w="622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payments</w:t>
            </w:r>
          </w:p>
        </w:tc>
      </w:tr>
      <w:tr>
        <w:trPr>
          <w:trHeight w:val="161"/>
        </w:trPr>
        <w:tc>
          <w:tcPr>
            <w:tcW w:w="6220" w:type="dxa"/>
            <w:vAlign w:val="bottom"/>
            <w:shd w:val="clear" w:color="auto" w:fill="CCEEFF"/>
          </w:tcPr>
          <w:p>
            <w:pPr>
              <w:spacing w:after="0"/>
              <w:rPr>
                <w:sz w:val="13"/>
                <w:szCs w:val="13"/>
                <w:color w:val="auto"/>
              </w:rPr>
            </w:pPr>
          </w:p>
        </w:tc>
        <w:tc>
          <w:tcPr>
            <w:tcW w:w="5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68"/>
        </w:trPr>
        <w:tc>
          <w:tcPr>
            <w:tcW w:w="6220" w:type="dxa"/>
            <w:vAlign w:val="bottom"/>
          </w:tcPr>
          <w:p>
            <w:pPr>
              <w:ind w:left="20"/>
              <w:spacing w:after="0"/>
              <w:rPr>
                <w:sz w:val="20"/>
                <w:szCs w:val="20"/>
                <w:color w:val="auto"/>
              </w:rPr>
            </w:pPr>
            <w:r>
              <w:rPr>
                <w:rFonts w:ascii="Arial" w:cs="Arial" w:eastAsia="Arial" w:hAnsi="Arial"/>
                <w:sz w:val="13"/>
                <w:szCs w:val="13"/>
                <w:color w:val="auto"/>
              </w:rPr>
              <w:t>2020</w:t>
            </w:r>
          </w:p>
        </w:tc>
        <w:tc>
          <w:tcPr>
            <w:tcW w:w="5060" w:type="dxa"/>
            <w:vAlign w:val="bottom"/>
          </w:tcPr>
          <w:p>
            <w:pPr>
              <w:jc w:val="right"/>
              <w:spacing w:after="0"/>
              <w:rPr>
                <w:sz w:val="20"/>
                <w:szCs w:val="20"/>
                <w:color w:val="auto"/>
              </w:rPr>
            </w:pPr>
            <w:r>
              <w:rPr>
                <w:rFonts w:ascii="Arial" w:cs="Arial" w:eastAsia="Arial" w:hAnsi="Arial"/>
                <w:sz w:val="13"/>
                <w:szCs w:val="13"/>
                <w:color w:val="auto"/>
              </w:rPr>
              <w:t>1,410</w:t>
            </w:r>
          </w:p>
        </w:tc>
      </w:tr>
      <w:tr>
        <w:trPr>
          <w:trHeight w:val="172"/>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5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w:t>
            </w:r>
          </w:p>
        </w:tc>
      </w:tr>
      <w:tr>
        <w:trPr>
          <w:trHeight w:val="168"/>
        </w:trPr>
        <w:tc>
          <w:tcPr>
            <w:tcW w:w="6220" w:type="dxa"/>
            <w:vAlign w:val="bottom"/>
          </w:tcPr>
          <w:p>
            <w:pPr>
              <w:ind w:left="20"/>
              <w:spacing w:after="0"/>
              <w:rPr>
                <w:sz w:val="20"/>
                <w:szCs w:val="20"/>
                <w:color w:val="auto"/>
              </w:rPr>
            </w:pPr>
            <w:r>
              <w:rPr>
                <w:rFonts w:ascii="Arial" w:cs="Arial" w:eastAsia="Arial" w:hAnsi="Arial"/>
                <w:sz w:val="13"/>
                <w:szCs w:val="13"/>
                <w:color w:val="auto"/>
              </w:rPr>
              <w:t>2022</w:t>
            </w:r>
          </w:p>
        </w:tc>
        <w:tc>
          <w:tcPr>
            <w:tcW w:w="5060" w:type="dxa"/>
            <w:vAlign w:val="bottom"/>
          </w:tcPr>
          <w:p>
            <w:pPr>
              <w:jc w:val="right"/>
              <w:spacing w:after="0"/>
              <w:rPr>
                <w:sz w:val="20"/>
                <w:szCs w:val="20"/>
                <w:color w:val="auto"/>
              </w:rPr>
            </w:pPr>
            <w:r>
              <w:rPr>
                <w:rFonts w:ascii="Arial" w:cs="Arial" w:eastAsia="Arial" w:hAnsi="Arial"/>
                <w:sz w:val="13"/>
                <w:szCs w:val="13"/>
                <w:color w:val="auto"/>
              </w:rPr>
              <w:t>670</w:t>
            </w:r>
          </w:p>
        </w:tc>
      </w:tr>
      <w:tr>
        <w:trPr>
          <w:trHeight w:val="172"/>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5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r>
      <w:tr>
        <w:trPr>
          <w:trHeight w:val="168"/>
        </w:trPr>
        <w:tc>
          <w:tcPr>
            <w:tcW w:w="6220" w:type="dxa"/>
            <w:vAlign w:val="bottom"/>
          </w:tcPr>
          <w:p>
            <w:pPr>
              <w:ind w:left="20"/>
              <w:spacing w:after="0"/>
              <w:rPr>
                <w:sz w:val="20"/>
                <w:szCs w:val="20"/>
                <w:color w:val="auto"/>
              </w:rPr>
            </w:pPr>
            <w:r>
              <w:rPr>
                <w:rFonts w:ascii="Arial" w:cs="Arial" w:eastAsia="Arial" w:hAnsi="Arial"/>
                <w:sz w:val="13"/>
                <w:szCs w:val="13"/>
                <w:color w:val="auto"/>
              </w:rPr>
              <w:t>2024</w:t>
            </w:r>
          </w:p>
        </w:tc>
        <w:tc>
          <w:tcPr>
            <w:tcW w:w="5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Thereafter</w:t>
            </w:r>
          </w:p>
        </w:tc>
        <w:tc>
          <w:tcPr>
            <w:tcW w:w="5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220" w:type="dxa"/>
            <w:vAlign w:val="bottom"/>
          </w:tcPr>
          <w:p>
            <w:pPr>
              <w:ind w:left="20"/>
              <w:spacing w:after="0"/>
              <w:rPr>
                <w:sz w:val="20"/>
                <w:szCs w:val="20"/>
                <w:color w:val="auto"/>
              </w:rPr>
            </w:pPr>
            <w:r>
              <w:rPr>
                <w:rFonts w:ascii="Arial" w:cs="Arial" w:eastAsia="Arial" w:hAnsi="Arial"/>
                <w:sz w:val="13"/>
                <w:szCs w:val="13"/>
                <w:color w:val="auto"/>
              </w:rPr>
              <w:t>Total future minimum lease payments</w:t>
            </w:r>
          </w:p>
        </w:tc>
        <w:tc>
          <w:tcPr>
            <w:tcW w:w="5060" w:type="dxa"/>
            <w:vAlign w:val="bottom"/>
          </w:tcPr>
          <w:p>
            <w:pPr>
              <w:jc w:val="right"/>
              <w:spacing w:after="0"/>
              <w:rPr>
                <w:sz w:val="20"/>
                <w:szCs w:val="20"/>
                <w:color w:val="auto"/>
              </w:rPr>
            </w:pPr>
            <w:r>
              <w:rPr>
                <w:rFonts w:ascii="Arial" w:cs="Arial" w:eastAsia="Arial" w:hAnsi="Arial"/>
                <w:sz w:val="13"/>
                <w:szCs w:val="13"/>
                <w:color w:val="auto"/>
              </w:rPr>
              <w:t>3,540</w:t>
            </w:r>
          </w:p>
        </w:tc>
      </w:tr>
      <w:tr>
        <w:trPr>
          <w:trHeight w:val="170"/>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Lease imputed interest</w:t>
            </w:r>
          </w:p>
        </w:tc>
        <w:tc>
          <w:tcPr>
            <w:tcW w:w="5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3,518</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Lease liabilities are presented as current and non-current. Lease liabilities of $1.4 million have been included in accrued and other liabilities as at 31 December 2020 (2019: $1.3 million).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Amounts recognised in profit or loss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amounts were recognised in profit and loss: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shd w:val="clear" w:color="auto" w:fill="CCEEFF"/>
          </w:tcPr>
          <w:p>
            <w:pPr>
              <w:spacing w:after="0"/>
              <w:rPr>
                <w:sz w:val="12"/>
                <w:szCs w:val="12"/>
                <w:color w:val="auto"/>
              </w:rPr>
            </w:pPr>
          </w:p>
        </w:tc>
        <w:tc>
          <w:tcPr>
            <w:tcW w:w="4660" w:type="dxa"/>
            <w:vAlign w:val="bottom"/>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31 December</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510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5100" w:type="dxa"/>
            <w:vAlign w:val="bottom"/>
          </w:tcPr>
          <w:p>
            <w:pPr>
              <w:spacing w:after="0"/>
              <w:rPr>
                <w:sz w:val="13"/>
                <w:szCs w:val="13"/>
                <w:color w:val="auto"/>
              </w:rPr>
            </w:pPr>
          </w:p>
        </w:tc>
        <w:tc>
          <w:tcPr>
            <w:tcW w:w="4660" w:type="dxa"/>
            <w:vAlign w:val="bottom"/>
          </w:tcPr>
          <w:p>
            <w:pPr>
              <w:jc w:val="right"/>
              <w:ind w:right="656"/>
              <w:spacing w:after="0"/>
              <w:rPr>
                <w:sz w:val="20"/>
                <w:szCs w:val="20"/>
                <w:color w:val="auto"/>
              </w:rPr>
            </w:pPr>
            <w:r>
              <w:rPr>
                <w:rFonts w:ascii="Arial" w:cs="Arial" w:eastAsia="Arial" w:hAnsi="Arial"/>
                <w:sz w:val="13"/>
                <w:szCs w:val="13"/>
                <w:b w:val="1"/>
                <w:bCs w:val="1"/>
                <w:color w:val="auto"/>
              </w:rPr>
              <w:t>$'000</w:t>
            </w:r>
          </w:p>
        </w:tc>
        <w:tc>
          <w:tcPr>
            <w:tcW w:w="15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466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1,547</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w:t>
            </w:r>
          </w:p>
        </w:tc>
      </w:tr>
      <w:tr>
        <w:trPr>
          <w:trHeight w:val="16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on lease liabilities</w:t>
            </w:r>
          </w:p>
        </w:tc>
        <w:tc>
          <w:tcPr>
            <w:tcW w:w="46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18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The depreciation cost of right-of-use assets is recorded within other operating expenses and interest on lease liabilities is recorded within finance costs.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2020, the Company did not incur any costs related to variable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80"/>
          </w:cols>
          <w:pgMar w:left="300" w:top="695" w:right="31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28" w:lineRule="exact"/>
        <w:rPr>
          <w:sz w:val="20"/>
          <w:szCs w:val="20"/>
          <w:color w:val="auto"/>
        </w:rPr>
      </w:pPr>
    </w:p>
    <w:p>
      <w:pPr>
        <w:ind w:left="320" w:hanging="315"/>
        <w:spacing w:after="0"/>
        <w:tabs>
          <w:tab w:leader="none" w:pos="320" w:val="left"/>
        </w:tabs>
        <w:numPr>
          <w:ilvl w:val="0"/>
          <w:numId w:val="142"/>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38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62" w:lineRule="exact"/>
        <w:rPr>
          <w:sz w:val="20"/>
          <w:szCs w:val="20"/>
          <w:color w:val="auto"/>
        </w:rPr>
      </w:pPr>
    </w:p>
    <w:p>
      <w:pPr>
        <w:ind w:left="320" w:hanging="315"/>
        <w:spacing w:after="0"/>
        <w:tabs>
          <w:tab w:leader="none" w:pos="320"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foreign exchange risk and interest rate risk.</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An expected credit loss assessment was performed in respect of the receivables at 31 December 2019 and 31 December 2020. The identified impairment loss was immaterial.</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Credit risk is the risk of financial loss to the Company if a customer or counterparty to a financial instrument fails to meet its contractual obligations. Credit risk in respect of the Company arises on balances due from group companies. As the Group is financially sound and the subsidiary entities that the Company trades with are in a position to make payments as and when they fall due, the Company has assessed the exposure to credit risk as low.</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Liquidity risk</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Liquidity risk is the risk that the Company will not be able to meet its financial obligations as they fall due. The Company’s liquidity risk arises from the repayment of short-term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the Group. Details of the Group’s bank credit lines and facilities are set out in </w:t>
      </w:r>
      <w:r>
        <w:rPr>
          <w:rFonts w:ascii="Arial" w:cs="Arial" w:eastAsia="Arial" w:hAnsi="Arial"/>
          <w:sz w:val="13"/>
          <w:szCs w:val="13"/>
          <w:i w:val="1"/>
          <w:iCs w:val="1"/>
          <w:color w:val="auto"/>
        </w:rPr>
        <w:t>note 23 Bank credit lines and loan facilities.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At 31 December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Carrying</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Contractual</w:t>
            </w:r>
          </w:p>
        </w:tc>
        <w:tc>
          <w:tcPr>
            <w:tcW w:w="1440" w:type="dxa"/>
            <w:vAlign w:val="bottom"/>
            <w:vMerge w:val="restart"/>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 mths or less</w:t>
            </w:r>
          </w:p>
        </w:tc>
        <w:tc>
          <w:tcPr>
            <w:tcW w:w="126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6 to 12</w:t>
            </w:r>
          </w:p>
        </w:tc>
        <w:tc>
          <w:tcPr>
            <w:tcW w:w="12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 to 2</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 to 5</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7"/>
        </w:trPr>
        <w:tc>
          <w:tcPr>
            <w:tcW w:w="240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Amount</w:t>
            </w:r>
          </w:p>
        </w:tc>
        <w:tc>
          <w:tcPr>
            <w:tcW w:w="1220" w:type="dxa"/>
            <w:vAlign w:val="bottom"/>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Cashflows</w:t>
            </w:r>
          </w:p>
        </w:tc>
        <w:tc>
          <w:tcPr>
            <w:tcW w:w="1440" w:type="dxa"/>
            <w:vAlign w:val="bottom"/>
            <w:vMerge w:val="continue"/>
            <w:shd w:val="clear" w:color="auto" w:fill="CCEEFF"/>
          </w:tcPr>
          <w:p>
            <w:pPr>
              <w:spacing w:after="0"/>
              <w:rPr>
                <w:sz w:val="11"/>
                <w:szCs w:val="11"/>
                <w:color w:val="auto"/>
              </w:rPr>
            </w:pPr>
          </w:p>
        </w:tc>
        <w:tc>
          <w:tcPr>
            <w:tcW w:w="1260" w:type="dxa"/>
            <w:vAlign w:val="bottom"/>
            <w:shd w:val="clear" w:color="auto" w:fill="CCEEFF"/>
          </w:tcPr>
          <w:p>
            <w:pPr>
              <w:jc w:val="right"/>
              <w:ind w:right="356"/>
              <w:spacing w:after="0" w:line="128" w:lineRule="exact"/>
              <w:rPr>
                <w:sz w:val="20"/>
                <w:szCs w:val="20"/>
                <w:color w:val="auto"/>
              </w:rPr>
            </w:pPr>
            <w:r>
              <w:rPr>
                <w:rFonts w:ascii="Arial" w:cs="Arial" w:eastAsia="Arial" w:hAnsi="Arial"/>
                <w:sz w:val="13"/>
                <w:szCs w:val="13"/>
                <w:b w:val="1"/>
                <w:bCs w:val="1"/>
                <w:color w:val="auto"/>
              </w:rPr>
              <w:t>mths</w:t>
            </w:r>
          </w:p>
        </w:tc>
        <w:tc>
          <w:tcPr>
            <w:tcW w:w="1240" w:type="dxa"/>
            <w:vAlign w:val="bottom"/>
            <w:shd w:val="clear" w:color="auto" w:fill="CCEEFF"/>
          </w:tcPr>
          <w:p>
            <w:pPr>
              <w:jc w:val="right"/>
              <w:ind w:right="376"/>
              <w:spacing w:after="0" w:line="128" w:lineRule="exact"/>
              <w:rPr>
                <w:sz w:val="20"/>
                <w:szCs w:val="20"/>
                <w:color w:val="auto"/>
              </w:rPr>
            </w:pPr>
            <w:r>
              <w:rPr>
                <w:rFonts w:ascii="Arial" w:cs="Arial" w:eastAsia="Arial" w:hAnsi="Arial"/>
                <w:sz w:val="13"/>
                <w:szCs w:val="13"/>
                <w:b w:val="1"/>
                <w:bCs w:val="1"/>
                <w:color w:val="auto"/>
              </w:rPr>
              <w:t>years</w:t>
            </w:r>
          </w:p>
        </w:tc>
        <w:tc>
          <w:tcPr>
            <w:tcW w:w="1100" w:type="dxa"/>
            <w:vAlign w:val="bottom"/>
            <w:shd w:val="clear" w:color="auto" w:fill="CCEEFF"/>
          </w:tcPr>
          <w:p>
            <w:pPr>
              <w:jc w:val="right"/>
              <w:ind w:right="236"/>
              <w:spacing w:after="0" w:line="128" w:lineRule="exact"/>
              <w:rPr>
                <w:sz w:val="20"/>
                <w:szCs w:val="20"/>
                <w:color w:val="auto"/>
              </w:rPr>
            </w:pPr>
            <w:r>
              <w:rPr>
                <w:rFonts w:ascii="Arial" w:cs="Arial" w:eastAsia="Arial" w:hAnsi="Arial"/>
                <w:sz w:val="13"/>
                <w:szCs w:val="13"/>
                <w:b w:val="1"/>
                <w:bCs w:val="1"/>
                <w:color w:val="auto"/>
              </w:rPr>
              <w:t>years</w:t>
            </w:r>
          </w:p>
        </w:tc>
        <w:tc>
          <w:tcPr>
            <w:tcW w:w="9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4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2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1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6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1660" w:type="dxa"/>
            <w:vAlign w:val="bottom"/>
          </w:tcPr>
          <w:p>
            <w:pPr>
              <w:jc w:val="right"/>
              <w:ind w:right="316"/>
              <w:spacing w:after="0"/>
              <w:rPr>
                <w:sz w:val="20"/>
                <w:szCs w:val="20"/>
                <w:color w:val="auto"/>
              </w:rPr>
            </w:pPr>
            <w:r>
              <w:rPr>
                <w:rFonts w:ascii="Arial" w:cs="Arial" w:eastAsia="Arial" w:hAnsi="Arial"/>
                <w:sz w:val="13"/>
                <w:szCs w:val="13"/>
                <w:color w:val="auto"/>
              </w:rPr>
              <w:t>3,518</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3,540</w:t>
            </w:r>
          </w:p>
        </w:tc>
        <w:tc>
          <w:tcPr>
            <w:tcW w:w="1440" w:type="dxa"/>
            <w:vAlign w:val="bottom"/>
          </w:tcPr>
          <w:p>
            <w:pPr>
              <w:jc w:val="right"/>
              <w:ind w:right="376"/>
              <w:spacing w:after="0"/>
              <w:rPr>
                <w:sz w:val="20"/>
                <w:szCs w:val="20"/>
                <w:color w:val="auto"/>
              </w:rPr>
            </w:pPr>
            <w:r>
              <w:rPr>
                <w:rFonts w:ascii="Arial" w:cs="Arial" w:eastAsia="Arial" w:hAnsi="Arial"/>
                <w:sz w:val="13"/>
                <w:szCs w:val="13"/>
                <w:color w:val="auto"/>
              </w:rPr>
              <w:t>705</w:t>
            </w:r>
          </w:p>
        </w:tc>
        <w:tc>
          <w:tcPr>
            <w:tcW w:w="1260" w:type="dxa"/>
            <w:vAlign w:val="bottom"/>
          </w:tcPr>
          <w:p>
            <w:pPr>
              <w:jc w:val="right"/>
              <w:ind w:right="396"/>
              <w:spacing w:after="0"/>
              <w:rPr>
                <w:sz w:val="20"/>
                <w:szCs w:val="20"/>
                <w:color w:val="auto"/>
              </w:rPr>
            </w:pPr>
            <w:r>
              <w:rPr>
                <w:rFonts w:ascii="Arial" w:cs="Arial" w:eastAsia="Arial" w:hAnsi="Arial"/>
                <w:sz w:val="13"/>
                <w:szCs w:val="13"/>
                <w:color w:val="auto"/>
              </w:rPr>
              <w:t>705</w:t>
            </w:r>
          </w:p>
        </w:tc>
        <w:tc>
          <w:tcPr>
            <w:tcW w:w="1240" w:type="dxa"/>
            <w:vAlign w:val="bottom"/>
          </w:tcPr>
          <w:p>
            <w:pPr>
              <w:jc w:val="right"/>
              <w:ind w:right="416"/>
              <w:spacing w:after="0"/>
              <w:rPr>
                <w:sz w:val="20"/>
                <w:szCs w:val="20"/>
                <w:color w:val="auto"/>
              </w:rPr>
            </w:pPr>
            <w:r>
              <w:rPr>
                <w:rFonts w:ascii="Arial" w:cs="Arial" w:eastAsia="Arial" w:hAnsi="Arial"/>
                <w:sz w:val="13"/>
                <w:szCs w:val="13"/>
                <w:color w:val="auto"/>
              </w:rPr>
              <w:t>1,176</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954</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15,897</w:t>
            </w: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15,897</w:t>
            </w: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8,059</w:t>
            </w:r>
          </w:p>
        </w:tc>
        <w:tc>
          <w:tcPr>
            <w:tcW w:w="12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1,815</w:t>
            </w:r>
          </w:p>
        </w:tc>
        <w:tc>
          <w:tcPr>
            <w:tcW w:w="12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1,285</w:t>
            </w: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2,414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2,324</w:t>
            </w: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19,415</w:t>
            </w: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19,437</w:t>
            </w: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8,764</w:t>
            </w:r>
          </w:p>
        </w:tc>
        <w:tc>
          <w:tcPr>
            <w:tcW w:w="12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2,520</w:t>
            </w:r>
          </w:p>
        </w:tc>
        <w:tc>
          <w:tcPr>
            <w:tcW w:w="12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2,461</w:t>
            </w: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3,368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2,324</w:t>
            </w:r>
          </w:p>
        </w:tc>
        <w:tc>
          <w:tcPr>
            <w:tcW w:w="0" w:type="dxa"/>
            <w:vAlign w:val="bottom"/>
          </w:tcPr>
          <w:p>
            <w:pPr>
              <w:spacing w:after="0"/>
              <w:rPr>
                <w:sz w:val="1"/>
                <w:szCs w:val="1"/>
                <w:color w:val="auto"/>
              </w:rPr>
            </w:pPr>
          </w:p>
        </w:tc>
      </w:tr>
      <w:tr>
        <w:trPr>
          <w:trHeight w:val="441"/>
        </w:trPr>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400" w:type="dxa"/>
            <w:vAlign w:val="bottom"/>
          </w:tcPr>
          <w:p>
            <w:pPr>
              <w:spacing w:after="0"/>
              <w:rPr>
                <w:sz w:val="11"/>
                <w:szCs w:val="11"/>
                <w:color w:val="auto"/>
              </w:rPr>
            </w:pPr>
          </w:p>
        </w:tc>
        <w:tc>
          <w:tcPr>
            <w:tcW w:w="1660" w:type="dxa"/>
            <w:vAlign w:val="bottom"/>
          </w:tcPr>
          <w:p>
            <w:pPr>
              <w:jc w:val="right"/>
              <w:ind w:right="276"/>
              <w:spacing w:after="0" w:line="132" w:lineRule="exact"/>
              <w:rPr>
                <w:sz w:val="20"/>
                <w:szCs w:val="20"/>
                <w:color w:val="auto"/>
              </w:rPr>
            </w:pPr>
            <w:r>
              <w:rPr>
                <w:rFonts w:ascii="Arial" w:cs="Arial" w:eastAsia="Arial" w:hAnsi="Arial"/>
                <w:sz w:val="13"/>
                <w:szCs w:val="13"/>
                <w:b w:val="1"/>
                <w:bCs w:val="1"/>
                <w:color w:val="auto"/>
              </w:rPr>
              <w:t>Carrying</w:t>
            </w:r>
          </w:p>
        </w:tc>
        <w:tc>
          <w:tcPr>
            <w:tcW w:w="1220" w:type="dxa"/>
            <w:vAlign w:val="bottom"/>
          </w:tcPr>
          <w:p>
            <w:pPr>
              <w:jc w:val="right"/>
              <w:ind w:right="116"/>
              <w:spacing w:after="0" w:line="132" w:lineRule="exact"/>
              <w:rPr>
                <w:sz w:val="20"/>
                <w:szCs w:val="20"/>
                <w:color w:val="auto"/>
              </w:rPr>
            </w:pPr>
            <w:r>
              <w:rPr>
                <w:rFonts w:ascii="Arial" w:cs="Arial" w:eastAsia="Arial" w:hAnsi="Arial"/>
                <w:sz w:val="13"/>
                <w:szCs w:val="13"/>
                <w:b w:val="1"/>
                <w:bCs w:val="1"/>
                <w:color w:val="auto"/>
              </w:rPr>
              <w:t>Contractual</w:t>
            </w:r>
          </w:p>
        </w:tc>
        <w:tc>
          <w:tcPr>
            <w:tcW w:w="1440" w:type="dxa"/>
            <w:vAlign w:val="bottom"/>
            <w:vMerge w:val="restart"/>
          </w:tcPr>
          <w:p>
            <w:pPr>
              <w:jc w:val="right"/>
              <w:ind w:right="336"/>
              <w:spacing w:after="0"/>
              <w:rPr>
                <w:sz w:val="20"/>
                <w:szCs w:val="20"/>
                <w:color w:val="auto"/>
              </w:rPr>
            </w:pPr>
            <w:r>
              <w:rPr>
                <w:rFonts w:ascii="Arial" w:cs="Arial" w:eastAsia="Arial" w:hAnsi="Arial"/>
                <w:sz w:val="13"/>
                <w:szCs w:val="13"/>
                <w:b w:val="1"/>
                <w:bCs w:val="1"/>
                <w:color w:val="auto"/>
              </w:rPr>
              <w:t>6 mths or less</w:t>
            </w:r>
          </w:p>
        </w:tc>
        <w:tc>
          <w:tcPr>
            <w:tcW w:w="1260" w:type="dxa"/>
            <w:vAlign w:val="bottom"/>
          </w:tcPr>
          <w:p>
            <w:pPr>
              <w:jc w:val="right"/>
              <w:ind w:right="396"/>
              <w:spacing w:after="0" w:line="132" w:lineRule="exact"/>
              <w:rPr>
                <w:sz w:val="20"/>
                <w:szCs w:val="20"/>
                <w:color w:val="auto"/>
              </w:rPr>
            </w:pPr>
            <w:r>
              <w:rPr>
                <w:rFonts w:ascii="Arial" w:cs="Arial" w:eastAsia="Arial" w:hAnsi="Arial"/>
                <w:sz w:val="13"/>
                <w:szCs w:val="13"/>
                <w:b w:val="1"/>
                <w:bCs w:val="1"/>
                <w:color w:val="auto"/>
              </w:rPr>
              <w:t>6 to 12</w:t>
            </w:r>
          </w:p>
        </w:tc>
        <w:tc>
          <w:tcPr>
            <w:tcW w:w="1240" w:type="dxa"/>
            <w:vAlign w:val="bottom"/>
          </w:tcPr>
          <w:p>
            <w:pPr>
              <w:jc w:val="right"/>
              <w:ind w:right="396"/>
              <w:spacing w:after="0" w:line="132" w:lineRule="exact"/>
              <w:rPr>
                <w:sz w:val="20"/>
                <w:szCs w:val="20"/>
                <w:color w:val="auto"/>
              </w:rPr>
            </w:pPr>
            <w:r>
              <w:rPr>
                <w:rFonts w:ascii="Arial" w:cs="Arial" w:eastAsia="Arial" w:hAnsi="Arial"/>
                <w:sz w:val="13"/>
                <w:szCs w:val="13"/>
                <w:b w:val="1"/>
                <w:bCs w:val="1"/>
                <w:color w:val="auto"/>
              </w:rPr>
              <w:t>1 to 2</w:t>
            </w:r>
          </w:p>
        </w:tc>
        <w:tc>
          <w:tcPr>
            <w:tcW w:w="1100" w:type="dxa"/>
            <w:vAlign w:val="bottom"/>
          </w:tcPr>
          <w:p>
            <w:pPr>
              <w:jc w:val="right"/>
              <w:ind w:right="276"/>
              <w:spacing w:after="0" w:line="132" w:lineRule="exact"/>
              <w:rPr>
                <w:sz w:val="20"/>
                <w:szCs w:val="20"/>
                <w:color w:val="auto"/>
              </w:rPr>
            </w:pPr>
            <w:r>
              <w:rPr>
                <w:rFonts w:ascii="Arial" w:cs="Arial" w:eastAsia="Arial" w:hAnsi="Arial"/>
                <w:sz w:val="13"/>
                <w:szCs w:val="13"/>
                <w:b w:val="1"/>
                <w:bCs w:val="1"/>
                <w:color w:val="auto"/>
              </w:rPr>
              <w:t>2 to 5</w:t>
            </w:r>
          </w:p>
        </w:tc>
        <w:tc>
          <w:tcPr>
            <w:tcW w:w="940" w:type="dxa"/>
            <w:vAlign w:val="bottom"/>
          </w:tcPr>
          <w:p>
            <w:pPr>
              <w:jc w:val="right"/>
              <w:spacing w:after="0" w:line="132"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1660" w:type="dxa"/>
            <w:vAlign w:val="bottom"/>
          </w:tcPr>
          <w:p>
            <w:pPr>
              <w:jc w:val="right"/>
              <w:ind w:right="276"/>
              <w:spacing w:after="0" w:line="128" w:lineRule="exact"/>
              <w:rPr>
                <w:sz w:val="20"/>
                <w:szCs w:val="20"/>
                <w:color w:val="auto"/>
              </w:rPr>
            </w:pPr>
            <w:r>
              <w:rPr>
                <w:rFonts w:ascii="Arial" w:cs="Arial" w:eastAsia="Arial" w:hAnsi="Arial"/>
                <w:sz w:val="13"/>
                <w:szCs w:val="13"/>
                <w:b w:val="1"/>
                <w:bCs w:val="1"/>
                <w:color w:val="auto"/>
              </w:rPr>
              <w:t>Amount</w:t>
            </w:r>
          </w:p>
        </w:tc>
        <w:tc>
          <w:tcPr>
            <w:tcW w:w="1220" w:type="dxa"/>
            <w:vAlign w:val="bottom"/>
          </w:tcPr>
          <w:p>
            <w:pPr>
              <w:jc w:val="right"/>
              <w:ind w:right="116"/>
              <w:spacing w:after="0" w:line="128" w:lineRule="exact"/>
              <w:rPr>
                <w:sz w:val="20"/>
                <w:szCs w:val="20"/>
                <w:color w:val="auto"/>
              </w:rPr>
            </w:pPr>
            <w:r>
              <w:rPr>
                <w:rFonts w:ascii="Arial" w:cs="Arial" w:eastAsia="Arial" w:hAnsi="Arial"/>
                <w:sz w:val="13"/>
                <w:szCs w:val="13"/>
                <w:b w:val="1"/>
                <w:bCs w:val="1"/>
                <w:color w:val="auto"/>
              </w:rPr>
              <w:t>Cashflows</w:t>
            </w:r>
          </w:p>
        </w:tc>
        <w:tc>
          <w:tcPr>
            <w:tcW w:w="1440" w:type="dxa"/>
            <w:vAlign w:val="bottom"/>
            <w:vMerge w:val="continue"/>
          </w:tcPr>
          <w:p>
            <w:pPr>
              <w:spacing w:after="0"/>
              <w:rPr>
                <w:sz w:val="11"/>
                <w:szCs w:val="11"/>
                <w:color w:val="auto"/>
              </w:rPr>
            </w:pPr>
          </w:p>
        </w:tc>
        <w:tc>
          <w:tcPr>
            <w:tcW w:w="1260" w:type="dxa"/>
            <w:vAlign w:val="bottom"/>
          </w:tcPr>
          <w:p>
            <w:pPr>
              <w:jc w:val="right"/>
              <w:ind w:right="356"/>
              <w:spacing w:after="0" w:line="128" w:lineRule="exact"/>
              <w:rPr>
                <w:sz w:val="20"/>
                <w:szCs w:val="20"/>
                <w:color w:val="auto"/>
              </w:rPr>
            </w:pPr>
            <w:r>
              <w:rPr>
                <w:rFonts w:ascii="Arial" w:cs="Arial" w:eastAsia="Arial" w:hAnsi="Arial"/>
                <w:sz w:val="13"/>
                <w:szCs w:val="13"/>
                <w:b w:val="1"/>
                <w:bCs w:val="1"/>
                <w:color w:val="auto"/>
              </w:rPr>
              <w:t>mths</w:t>
            </w:r>
          </w:p>
        </w:tc>
        <w:tc>
          <w:tcPr>
            <w:tcW w:w="1240" w:type="dxa"/>
            <w:vAlign w:val="bottom"/>
          </w:tcPr>
          <w:p>
            <w:pPr>
              <w:jc w:val="right"/>
              <w:ind w:right="376"/>
              <w:spacing w:after="0" w:line="128" w:lineRule="exact"/>
              <w:rPr>
                <w:sz w:val="20"/>
                <w:szCs w:val="20"/>
                <w:color w:val="auto"/>
              </w:rPr>
            </w:pPr>
            <w:r>
              <w:rPr>
                <w:rFonts w:ascii="Arial" w:cs="Arial" w:eastAsia="Arial" w:hAnsi="Arial"/>
                <w:sz w:val="13"/>
                <w:szCs w:val="13"/>
                <w:b w:val="1"/>
                <w:bCs w:val="1"/>
                <w:color w:val="auto"/>
              </w:rPr>
              <w:t>years</w:t>
            </w:r>
          </w:p>
        </w:tc>
        <w:tc>
          <w:tcPr>
            <w:tcW w:w="1100" w:type="dxa"/>
            <w:vAlign w:val="bottom"/>
          </w:tcPr>
          <w:p>
            <w:pPr>
              <w:jc w:val="right"/>
              <w:ind w:right="236"/>
              <w:spacing w:after="0" w:line="128" w:lineRule="exact"/>
              <w:rPr>
                <w:sz w:val="20"/>
                <w:szCs w:val="20"/>
                <w:color w:val="auto"/>
              </w:rPr>
            </w:pPr>
            <w:r>
              <w:rPr>
                <w:rFonts w:ascii="Arial" w:cs="Arial" w:eastAsia="Arial" w:hAnsi="Arial"/>
                <w:sz w:val="13"/>
                <w:szCs w:val="13"/>
                <w:b w:val="1"/>
                <w:bCs w:val="1"/>
                <w:color w:val="auto"/>
              </w:rPr>
              <w:t>years</w:t>
            </w:r>
          </w:p>
        </w:tc>
        <w:tc>
          <w:tcPr>
            <w:tcW w:w="94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4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50"/>
        </w:trPr>
        <w:tc>
          <w:tcPr>
            <w:tcW w:w="24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660" w:type="dxa"/>
            <w:vAlign w:val="bottom"/>
          </w:tcPr>
          <w:p>
            <w:pPr>
              <w:jc w:val="right"/>
              <w:ind w:right="316"/>
              <w:spacing w:after="0"/>
              <w:rPr>
                <w:sz w:val="20"/>
                <w:szCs w:val="20"/>
                <w:color w:val="auto"/>
              </w:rPr>
            </w:pPr>
            <w:r>
              <w:rPr>
                <w:rFonts w:ascii="Arial" w:cs="Arial" w:eastAsia="Arial" w:hAnsi="Arial"/>
                <w:sz w:val="13"/>
                <w:szCs w:val="13"/>
                <w:color w:val="auto"/>
              </w:rPr>
              <w:t>0</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0</w:t>
            </w:r>
          </w:p>
        </w:tc>
        <w:tc>
          <w:tcPr>
            <w:tcW w:w="14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liability</w:t>
            </w:r>
          </w:p>
        </w:tc>
        <w:tc>
          <w:tcPr>
            <w:tcW w:w="16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4,438</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4,438</w:t>
            </w:r>
          </w:p>
        </w:tc>
        <w:tc>
          <w:tcPr>
            <w:tcW w:w="14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662</w:t>
            </w:r>
          </w:p>
        </w:tc>
        <w:tc>
          <w:tcPr>
            <w:tcW w:w="12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662</w:t>
            </w:r>
          </w:p>
        </w:tc>
        <w:tc>
          <w:tcPr>
            <w:tcW w:w="12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1,214</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1,900</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Accruals and other liabilities</w:t>
            </w:r>
          </w:p>
        </w:tc>
        <w:tc>
          <w:tcPr>
            <w:tcW w:w="16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15,897</w:t>
            </w: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15,897</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8,502</w:t>
            </w: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1,923</w:t>
            </w:r>
          </w:p>
        </w:tc>
        <w:tc>
          <w:tcPr>
            <w:tcW w:w="12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1,335</w:t>
            </w: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1,957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2,180</w:t>
            </w:r>
          </w:p>
        </w:tc>
        <w:tc>
          <w:tcPr>
            <w:tcW w:w="0" w:type="dxa"/>
            <w:vAlign w:val="bottom"/>
          </w:tcPr>
          <w:p>
            <w:pPr>
              <w:spacing w:after="0"/>
              <w:rPr>
                <w:sz w:val="1"/>
                <w:szCs w:val="1"/>
                <w:color w:val="auto"/>
              </w:rPr>
            </w:pPr>
          </w:p>
        </w:tc>
      </w:tr>
      <w:tr>
        <w:trPr>
          <w:trHeight w:val="152"/>
        </w:trPr>
        <w:tc>
          <w:tcPr>
            <w:tcW w:w="24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20,335</w:t>
            </w: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20,335</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9,164</w:t>
            </w: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2,585</w:t>
            </w:r>
          </w:p>
        </w:tc>
        <w:tc>
          <w:tcPr>
            <w:tcW w:w="12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2,549</w:t>
            </w: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3,857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280"/>
          </w:cols>
          <w:pgMar w:left="300" w:top="696" w:right="31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71" w:lineRule="exact"/>
        <w:rPr>
          <w:sz w:val="20"/>
          <w:szCs w:val="20"/>
          <w:color w:val="auto"/>
        </w:rPr>
      </w:pPr>
    </w:p>
    <w:p>
      <w:pPr>
        <w:ind w:left="320" w:hanging="315"/>
        <w:spacing w:after="0"/>
        <w:tabs>
          <w:tab w:leader="none" w:pos="320" w:val="left"/>
        </w:tabs>
        <w:numPr>
          <w:ilvl w:val="0"/>
          <w:numId w:val="144"/>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While the functional currency of the Company is USD, the functional currency of the branches is Euro. As a consequence, the results, when translated into U.S. dollars, could be affected by fluctuations in exchange rates against the U.S. dollar. At 31 December 2020 the Company had $Nil US dollar denominated bank loans (2019: $Nil).</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1:</w:t>
            </w:r>
          </w:p>
        </w:tc>
        <w:tc>
          <w:tcPr>
            <w:tcW w:w="10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Inputs are based upon unadjusted quoted prices for identical instruments traded in active markets.</w:t>
            </w:r>
          </w:p>
        </w:tc>
      </w:tr>
      <w:tr>
        <w:trPr>
          <w:trHeight w:val="202"/>
        </w:trPr>
        <w:tc>
          <w:tcPr>
            <w:tcW w:w="92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39"/>
        </w:trPr>
        <w:tc>
          <w:tcPr>
            <w:tcW w:w="9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Level 2:</w:t>
            </w:r>
          </w:p>
        </w:tc>
        <w:tc>
          <w:tcPr>
            <w:tcW w:w="10240" w:type="dxa"/>
            <w:vAlign w:val="bottom"/>
            <w:shd w:val="clear" w:color="auto" w:fill="CCEEFF"/>
          </w:tcPr>
          <w:p>
            <w:pPr>
              <w:ind w:left="460"/>
              <w:spacing w:after="0" w:line="139" w:lineRule="exact"/>
              <w:rPr>
                <w:sz w:val="20"/>
                <w:szCs w:val="20"/>
                <w:color w:val="auto"/>
              </w:rPr>
            </w:pPr>
            <w:r>
              <w:rPr>
                <w:rFonts w:ascii="Arial" w:cs="Arial" w:eastAsia="Arial" w:hAnsi="Arial"/>
                <w:sz w:val="13"/>
                <w:szCs w:val="13"/>
                <w:color w:val="auto"/>
              </w:rPr>
              <w:t>Inputs are based upon quoted prices for similar instruments in active markets, quoted prices for identical or similar instruments in markets that are not active and model-</w:t>
            </w:r>
          </w:p>
        </w:tc>
      </w:tr>
      <w:tr>
        <w:trPr>
          <w:trHeight w:val="127"/>
        </w:trPr>
        <w:tc>
          <w:tcPr>
            <w:tcW w:w="920" w:type="dxa"/>
            <w:vAlign w:val="bottom"/>
            <w:shd w:val="clear" w:color="auto" w:fill="CCEEFF"/>
          </w:tcPr>
          <w:p>
            <w:pPr>
              <w:spacing w:after="0"/>
              <w:rPr>
                <w:sz w:val="11"/>
                <w:szCs w:val="11"/>
                <w:color w:val="auto"/>
              </w:rPr>
            </w:pPr>
          </w:p>
        </w:tc>
        <w:tc>
          <w:tcPr>
            <w:tcW w:w="10240" w:type="dxa"/>
            <w:vAlign w:val="bottom"/>
            <w:shd w:val="clear" w:color="auto" w:fill="CCEEFF"/>
          </w:tcPr>
          <w:p>
            <w:pPr>
              <w:ind w:left="460"/>
              <w:spacing w:after="0" w:line="128" w:lineRule="exact"/>
              <w:rPr>
                <w:sz w:val="20"/>
                <w:szCs w:val="20"/>
                <w:color w:val="auto"/>
              </w:rPr>
            </w:pPr>
            <w:r>
              <w:rPr>
                <w:rFonts w:ascii="Arial" w:cs="Arial" w:eastAsia="Arial" w:hAnsi="Arial"/>
                <w:sz w:val="13"/>
                <w:szCs w:val="13"/>
                <w:color w:val="auto"/>
                <w:w w:val="98"/>
              </w:rPr>
              <w:t>based valuation techniques for which all significant assumptions are observable in the market or can be corroborated by observable market data for substantially the full term</w:t>
            </w:r>
          </w:p>
        </w:tc>
      </w:tr>
      <w:tr>
        <w:trPr>
          <w:trHeight w:val="158"/>
        </w:trPr>
        <w:tc>
          <w:tcPr>
            <w:tcW w:w="920" w:type="dxa"/>
            <w:vAlign w:val="bottom"/>
            <w:shd w:val="clear" w:color="auto" w:fill="CCEEFF"/>
          </w:tcPr>
          <w:p>
            <w:pPr>
              <w:spacing w:after="0"/>
              <w:rPr>
                <w:sz w:val="13"/>
                <w:szCs w:val="13"/>
                <w:color w:val="auto"/>
              </w:rPr>
            </w:pPr>
          </w:p>
        </w:tc>
        <w:tc>
          <w:tcPr>
            <w:tcW w:w="10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of the assets or liabilities.</w:t>
            </w:r>
          </w:p>
        </w:tc>
      </w:tr>
      <w:tr>
        <w:trPr>
          <w:trHeight w:val="202"/>
        </w:trPr>
        <w:tc>
          <w:tcPr>
            <w:tcW w:w="92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76"/>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3:</w:t>
            </w:r>
          </w:p>
        </w:tc>
        <w:tc>
          <w:tcPr>
            <w:tcW w:w="10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Inputs are generally unobservable and typically reflect management’s estimates of assumptions that market participants would use in pricing the asset or liability.</w:t>
            </w:r>
          </w:p>
        </w:tc>
      </w:tr>
      <w:tr>
        <w:trPr>
          <w:trHeight w:val="206"/>
        </w:trPr>
        <w:tc>
          <w:tcPr>
            <w:tcW w:w="920" w:type="dxa"/>
            <w:vAlign w:val="bottom"/>
            <w:shd w:val="clear" w:color="auto" w:fill="CCEEFF"/>
          </w:tcPr>
          <w:p>
            <w:pPr>
              <w:spacing w:after="0"/>
              <w:rPr>
                <w:sz w:val="17"/>
                <w:szCs w:val="17"/>
                <w:color w:val="auto"/>
              </w:rPr>
            </w:pPr>
          </w:p>
        </w:tc>
        <w:tc>
          <w:tcPr>
            <w:tcW w:w="10240" w:type="dxa"/>
            <w:vAlign w:val="bottom"/>
            <w:shd w:val="clear" w:color="auto" w:fill="CCEEFF"/>
          </w:tcPr>
          <w:p>
            <w:pPr>
              <w:spacing w:after="0"/>
              <w:rPr>
                <w:sz w:val="17"/>
                <w:szCs w:val="17"/>
                <w:color w:val="auto"/>
              </w:rPr>
            </w:pPr>
          </w:p>
        </w:tc>
      </w:tr>
    </w:tbl>
    <w:p>
      <w:pPr>
        <w:spacing w:after="0" w:line="25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short-term nature of these balances.</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Amounts owed by subsidiary undertakings are non-interest bearing and repayable on demand. All amounts are therefore recorded as due within one year. Fair value is deemed to equal carrying value on this basis.</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53" w:lineRule="exact"/>
        <w:rPr>
          <w:sz w:val="20"/>
          <w:szCs w:val="20"/>
          <w:color w:val="auto"/>
        </w:rPr>
      </w:pPr>
    </w:p>
    <w:p>
      <w:pPr>
        <w:ind w:left="320" w:hanging="315"/>
        <w:spacing w:after="0"/>
        <w:tabs>
          <w:tab w:leader="none" w:pos="320" w:val="left"/>
        </w:tabs>
        <w:numPr>
          <w:ilvl w:val="0"/>
          <w:numId w:val="145"/>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Board of Directors approved the Company Financial Statements on 27 April 2021.</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280"/>
          </w:cols>
          <w:pgMar w:left="300" w:top="696" w:right="31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Reconciliation from IFRS to US Accounting Policies</w:t>
      </w:r>
    </w:p>
    <w:p>
      <w:pPr>
        <w:spacing w:after="0" w:line="200" w:lineRule="exact"/>
        <w:rPr>
          <w:sz w:val="20"/>
          <w:szCs w:val="20"/>
          <w:color w:val="auto"/>
        </w:rPr>
      </w:pPr>
    </w:p>
    <w:p>
      <w:pPr>
        <w:spacing w:after="0" w:line="34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Consolidated Financial Statements set out on pages 31 to 126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Consolidated Financial Statements are as follows: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  Financial statement format</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format of the financial statements and certain note disclosures differ under U.S. GAAP from those under EU IFRS. The Group prepared a U.S. Securities and Exchange Commission Form 20-F Report which was made available to all shareholders in February 2021. The financial statements included in such Form 20-F are prepared in accordance with U.S. GAAP.</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Merger with PRAI</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 xml:space="preserve">The Group accounts for business combinations under EU IFRS in accordance with the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permitted by IFRS 1 </w:t>
      </w:r>
      <w:r>
        <w:rPr>
          <w:rFonts w:ascii="Arial" w:cs="Arial" w:eastAsia="Arial" w:hAnsi="Arial"/>
          <w:sz w:val="13"/>
          <w:szCs w:val="13"/>
          <w:i w:val="1"/>
          <w:iCs w:val="1"/>
          <w:color w:val="auto"/>
        </w:rPr>
        <w:t>First Time Adoption of International Financial Reporting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Standards </w:t>
      </w:r>
      <w:r>
        <w:rPr>
          <w:rFonts w:ascii="Arial" w:cs="Arial" w:eastAsia="Arial" w:hAnsi="Arial"/>
          <w:sz w:val="13"/>
          <w:szCs w:val="13"/>
          <w:color w:val="auto"/>
        </w:rPr>
        <w:t>the Group has only restated business combinations from 1 June 2001 onwards. Business combinations prior to this date have not been restated. In addition, goodwill has no longer been</w:t>
      </w:r>
      <w:r>
        <w:rPr>
          <w:rFonts w:ascii="Arial" w:cs="Arial" w:eastAsia="Arial" w:hAnsi="Arial"/>
          <w:sz w:val="13"/>
          <w:szCs w:val="13"/>
          <w:i w:val="1"/>
          <w:iCs w:val="1"/>
          <w:color w:val="auto"/>
        </w:rPr>
        <w:t xml:space="preserve"> </w:t>
      </w:r>
      <w:r>
        <w:rPr>
          <w:rFonts w:ascii="Arial" w:cs="Arial" w:eastAsia="Arial" w:hAnsi="Arial"/>
          <w:sz w:val="13"/>
          <w:szCs w:val="13"/>
          <w:color w:val="auto"/>
        </w:rPr>
        <w:t>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85" w:lineRule="exact"/>
        <w:rPr>
          <w:sz w:val="20"/>
          <w:szCs w:val="20"/>
          <w:color w:val="auto"/>
        </w:rPr>
      </w:pPr>
    </w:p>
    <w:p>
      <w:pPr>
        <w:ind w:left="480" w:hanging="245"/>
        <w:spacing w:after="0"/>
        <w:tabs>
          <w:tab w:leader="none" w:pos="48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Group’s historic U.S. GAAP financial statements have been restated to reflect the combined results of ICON and PRAI;</w:t>
      </w:r>
    </w:p>
    <w:p>
      <w:pPr>
        <w:ind w:left="480" w:hanging="245"/>
        <w:spacing w:after="0"/>
        <w:tabs>
          <w:tab w:leader="none" w:pos="48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costs of the merger were expensed for U.S. GAAP purposes and included in the cost of acquisition for IFRS;</w:t>
      </w:r>
    </w:p>
    <w:p>
      <w:pPr>
        <w:ind w:left="480" w:hanging="245"/>
        <w:spacing w:after="0"/>
        <w:tabs>
          <w:tab w:leader="none" w:pos="48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goodwill arising on IFRS has been amortised over its expected useful life up to 31 May 2001. No goodwill arose on the merger under U.S. GAAP;</w:t>
      </w:r>
    </w:p>
    <w:p>
      <w:pPr>
        <w:ind w:left="480" w:hanging="245"/>
        <w:spacing w:after="0"/>
        <w:tabs>
          <w:tab w:leader="none" w:pos="48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tax charge arising on the conversion of PRAI from an S-Corporation to a C-Corporation is treated as a pre-acquisition charge under IFRS.</w:t>
      </w:r>
    </w:p>
    <w:p>
      <w:pPr>
        <w:spacing w:after="0" w:line="174" w:lineRule="exact"/>
        <w:rPr>
          <w:rFonts w:ascii="Arial" w:cs="Arial" w:eastAsia="Arial" w:hAnsi="Arial"/>
          <w:sz w:val="13"/>
          <w:szCs w:val="13"/>
          <w:color w:val="auto"/>
        </w:rPr>
      </w:pPr>
    </w:p>
    <w:p>
      <w:pPr>
        <w:ind w:left="200" w:hanging="195"/>
        <w:spacing w:after="0"/>
        <w:tabs>
          <w:tab w:leader="none" w:pos="200" w:val="left"/>
        </w:tabs>
        <w:numPr>
          <w:ilvl w:val="0"/>
          <w:numId w:val="147"/>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 expense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IFRS requires that the fair value of share-based payments be expensed to the Consolidated Statement of Profit and Loss over the period the related services are received, with a corresponding increase in equity. In the year ending 31 December 2020, the Group has accounted for share-based payments under U.S. GAAP in accordance with </w:t>
      </w:r>
      <w:r>
        <w:rPr>
          <w:rFonts w:ascii="Arial" w:cs="Arial" w:eastAsia="Arial" w:hAnsi="Arial"/>
          <w:sz w:val="13"/>
          <w:szCs w:val="13"/>
          <w:i w:val="1"/>
          <w:iCs w:val="1"/>
          <w:color w:val="auto"/>
        </w:rPr>
        <w:t>FASB ASC 718, Compensation – 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 which also requires that the fair value of share-based payments be expensed to the Consolidated Statement of Profit and Loss over the period the related services are received, with a</w:t>
      </w:r>
      <w:r>
        <w:rPr>
          <w:rFonts w:ascii="Arial" w:cs="Arial" w:eastAsia="Arial" w:hAnsi="Arial"/>
          <w:sz w:val="13"/>
          <w:szCs w:val="13"/>
          <w:i w:val="1"/>
          <w:iCs w:val="1"/>
          <w:color w:val="auto"/>
        </w:rPr>
        <w:t xml:space="preserve"> </w:t>
      </w:r>
      <w:r>
        <w:rPr>
          <w:rFonts w:ascii="Arial" w:cs="Arial" w:eastAsia="Arial" w:hAnsi="Arial"/>
          <w:sz w:val="13"/>
          <w:szCs w:val="13"/>
          <w:color w:val="auto"/>
        </w:rPr>
        <w:t>corresponding increase in equity.</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the binomial model has been used.</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U.S. GAAP requires that the accelerated graded vesting attribution approach is applied in respect of awards with straight line graded vesting. IFRS requires that each instalment of an award where there is graded vesting is treated as a separate grant with a different fair value. Each instalment is therefore separately measured and charged to the Consolidated Statement of Profit and Loss over the related vesting period. This results in accelerated expense recognition under IFRS.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IAS 19R Defined Benefit Pensions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 has recognised the net interest expense of the defined benefit pension scheme within payroll costs (operating expenses) in the Consolidated Statement of Profit and Loss under IAS19R which is consistent with the U.S. GAAP treatment of this cost. Additional net credits related to the defined benefit pension schemes refer to the adjustment required to reverse the application of the corridor approach permitted under U.S. GAAP ($(5k)) and the different net interest expense recorded under IFRS and U.S. GAAP ($413k).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280"/>
          </w:cols>
          <w:pgMar w:left="300" w:top="1098" w:right="31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Current tax and deferred tax assets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U.S. GAAP, ASC 740, Income Taxes requires recognition of a deferred tax asset in respect of the cumulative amount of compensation cost recognised in the financial statements in respect of unexercised options that will give rise to a future tax deduction. The tax deduction is based on the intrinsic value of the options, with the full tax deduction recorded in profit or loss in the year of exercise.</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IFRS also requires that a deferred tax asset is recognised in respect of options not yet exercised where a tax deduction will arise. IAS 12 Income taxes requires that the tax deduction is estimated. The fair value estimate is based on the share price at the exercise date.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U.S. GAAP, ASC 740, Income Taxes requires recognition of a current tax benefit of certain tax deductions arising from Share-based payment windfall gains in the Consolidated Statement of Operations. IFRS requires that the current tax benefit of these Share-based payment windfall gains is recognised through Equity, in the Share-based payment reserve.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 IFRS 16 Leases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Under US GAAP, ASC 842, Leases, lessees account for leases as operating or finance. Costs in respect of operating leases are charged to the Consolidated Statement of Operations on a straight-line basis over the lease term. Lease costs for all leases under IFRS 16 are comprised of the depreciation of right-of-use assets and the interest charge in respect of the associated lease liability. Total costs recognised under IFRS are higher than those recognised under US GAAP by $0.5 million.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 Noncontrolling interest</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ICON acquired a majority ownership interest in MeDiNova during 2019. Included in the purchase agreement are put and call option arrangements with the noncontrolling interest holders that require (put option) or enable (call option) ICON to purchase the remaining minority ownership at a future date. Under US GAAP, the option is accounted for as temporary equity, which is presented separately as redeemable noncontrolling interest on the Consolidated Balance Sheet. This classification reflects the assessment that the instruments are contingently redeemable in accordance with ASC 480-10-S99 'Distinguishing Liabilities from Equity'. Redeemable noncontrolling interests are accreted to their redemption value over the period from the date of issuance to the first date on which the option is exercisable. The change in the option's redemption value is recorded against retained earnings.</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Under IFRS, the put and call options are required to be bifurcated from the noncontrolling interest. ICON does not have present access to the returns of the noncontrolling interest and this is retained by the noncontrolling interest holders. The noncontrolling interest is recorded at its fair value at the acquisition date in equity. The financial liability for the noncontrolling interest put option is recognised at the present value of the amount payable upon exercise of the option. On initial recognition, the corresponding debit relating to the financial liability is made to equity attributable to the Company within the category 'put option in noncontrolling interest shares'. The financial asset relating to the call option meets the definition of a derivative under IFRS 9 and has been measured at fair value through the profit and loss in accordance with IFRS 9.</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subsequent changes in the carrying amount of the financial liability that result from the remeasurement of the present value of the amount payable upon exercise of the noncontrolling interest put option are recognised in the profit or loss attributable to the Company under IFRS.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 Put and call options in unconsolidated entities</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24 July 2020, the Group entered into an agreement to jointly establish a new company, Oncacare, with a third-party. The Group will own 49% of the voting share capital with the majority third party owning the remaining 51% voting share capital. The majority investor has the right to sell the 51% majority voting share capital exclusively to the Group in an eighteen month period, commencing 1 January 2023 and the Group also has the right to acquire the 51% majority voting share capital from August 1, 2025. Under IFRS, these option arrangements are derivative financial instruments which have been bifurcated and separately recorded from the equity host contract as Oncacare is not part of the Group. These option arrangements will be measured at their fair value at each reporting period with changes in the fair value of the financial instruments recorded through the Consolidated Statement of Profit and Loss. The fair value of these derivative financial instruments is nil at 31 December 2020 and, as such, there exists no recognition or measurement difference between the consolidated financial statements prepared under U.S. GAAP from those prepared under EU IFRS.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280"/>
          </w:cols>
          <w:pgMar w:left="300" w:top="1269" w:right="31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73"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following is a summary of the material adjustments to profit for the financial year and shareholders’ equity, which would be required, had the Consolidated Financial Statements been prepared in accordance with U.S. GAAP:</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 Effect on profit for the financial year</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7320" w:type="dxa"/>
            <w:vAlign w:val="bottom"/>
            <w:shd w:val="clear" w:color="auto" w:fill="CCEEFF"/>
          </w:tcPr>
          <w:p>
            <w:pPr>
              <w:spacing w:after="0"/>
              <w:rPr>
                <w:sz w:val="13"/>
                <w:szCs w:val="13"/>
                <w:color w:val="auto"/>
              </w:rPr>
            </w:pPr>
          </w:p>
        </w:tc>
        <w:tc>
          <w:tcPr>
            <w:tcW w:w="26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Year ended 31</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Year ended 31</w:t>
            </w:r>
          </w:p>
        </w:tc>
      </w:tr>
      <w:tr>
        <w:trPr>
          <w:trHeight w:val="127"/>
        </w:trPr>
        <w:tc>
          <w:tcPr>
            <w:tcW w:w="73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December</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December</w:t>
            </w:r>
          </w:p>
        </w:tc>
      </w:tr>
      <w:tr>
        <w:trPr>
          <w:trHeight w:val="169"/>
        </w:trPr>
        <w:tc>
          <w:tcPr>
            <w:tcW w:w="7320" w:type="dxa"/>
            <w:vAlign w:val="bottom"/>
            <w:tcBorders>
              <w:bottom w:val="single" w:sz="8" w:color="auto"/>
            </w:tcBorders>
            <w:shd w:val="clear" w:color="auto" w:fill="CCEEFF"/>
          </w:tcPr>
          <w:p>
            <w:pPr>
              <w:spacing w:after="0"/>
              <w:rPr>
                <w:sz w:val="14"/>
                <w:szCs w:val="14"/>
                <w:color w:val="auto"/>
              </w:rPr>
            </w:pPr>
          </w:p>
        </w:tc>
        <w:tc>
          <w:tcPr>
            <w:tcW w:w="26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2020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7320" w:type="dxa"/>
            <w:vAlign w:val="bottom"/>
          </w:tcPr>
          <w:p>
            <w:pPr>
              <w:spacing w:after="0"/>
              <w:rPr>
                <w:sz w:val="13"/>
                <w:szCs w:val="13"/>
                <w:color w:val="auto"/>
              </w:rPr>
            </w:pPr>
          </w:p>
        </w:tc>
        <w:tc>
          <w:tcPr>
            <w:tcW w:w="260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73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69"/>
        </w:trPr>
        <w:tc>
          <w:tcPr>
            <w:tcW w:w="7320" w:type="dxa"/>
            <w:vAlign w:val="bottom"/>
          </w:tcPr>
          <w:p>
            <w:pPr>
              <w:ind w:left="20"/>
              <w:spacing w:after="0"/>
              <w:rPr>
                <w:sz w:val="20"/>
                <w:szCs w:val="20"/>
                <w:color w:val="auto"/>
              </w:rPr>
            </w:pPr>
            <w:r>
              <w:rPr>
                <w:rFonts w:ascii="Arial" w:cs="Arial" w:eastAsia="Arial" w:hAnsi="Arial"/>
                <w:sz w:val="13"/>
                <w:szCs w:val="13"/>
                <w:color w:val="auto"/>
              </w:rPr>
              <w:t>Profit for the financial year attributable to equity holders and noncontrolling interest as stated under IFRS</w:t>
            </w:r>
          </w:p>
        </w:tc>
        <w:tc>
          <w:tcPr>
            <w:tcW w:w="2600" w:type="dxa"/>
            <w:vAlign w:val="bottom"/>
          </w:tcPr>
          <w:p>
            <w:pPr>
              <w:jc w:val="right"/>
              <w:ind w:right="296"/>
              <w:spacing w:after="0"/>
              <w:rPr>
                <w:sz w:val="20"/>
                <w:szCs w:val="20"/>
                <w:color w:val="auto"/>
              </w:rPr>
            </w:pPr>
            <w:r>
              <w:rPr>
                <w:rFonts w:ascii="Arial" w:cs="Arial" w:eastAsia="Arial" w:hAnsi="Arial"/>
                <w:sz w:val="13"/>
                <w:szCs w:val="13"/>
                <w:b w:val="1"/>
                <w:bCs w:val="1"/>
                <w:color w:val="auto"/>
              </w:rPr>
              <w:t>331,425</w:t>
            </w:r>
          </w:p>
        </w:tc>
        <w:tc>
          <w:tcPr>
            <w:tcW w:w="1160" w:type="dxa"/>
            <w:vAlign w:val="bottom"/>
          </w:tcPr>
          <w:p>
            <w:pPr>
              <w:jc w:val="right"/>
              <w:spacing w:after="0"/>
              <w:rPr>
                <w:sz w:val="20"/>
                <w:szCs w:val="20"/>
                <w:color w:val="auto"/>
              </w:rPr>
            </w:pPr>
            <w:r>
              <w:rPr>
                <w:rFonts w:ascii="Arial" w:cs="Arial" w:eastAsia="Arial" w:hAnsi="Arial"/>
                <w:sz w:val="13"/>
                <w:szCs w:val="13"/>
                <w:color w:val="auto"/>
              </w:rPr>
              <w:t>361,033</w:t>
            </w:r>
          </w:p>
        </w:tc>
      </w:tr>
      <w:tr>
        <w:trPr>
          <w:trHeight w:val="212"/>
        </w:trPr>
        <w:tc>
          <w:tcPr>
            <w:tcW w:w="73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69"/>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2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expense under IFRS</w:t>
            </w:r>
          </w:p>
        </w:tc>
        <w:tc>
          <w:tcPr>
            <w:tcW w:w="26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26,597</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25,886</w:t>
            </w:r>
          </w:p>
        </w:tc>
      </w:tr>
      <w:tr>
        <w:trPr>
          <w:trHeight w:val="169"/>
        </w:trPr>
        <w:tc>
          <w:tcPr>
            <w:tcW w:w="7320" w:type="dxa"/>
            <w:vAlign w:val="bottom"/>
          </w:tcPr>
          <w:p>
            <w:pPr>
              <w:ind w:left="20"/>
              <w:spacing w:after="0"/>
              <w:rPr>
                <w:sz w:val="20"/>
                <w:szCs w:val="20"/>
                <w:color w:val="auto"/>
              </w:rPr>
            </w:pPr>
            <w:r>
              <w:rPr>
                <w:rFonts w:ascii="Arial" w:cs="Arial" w:eastAsia="Arial" w:hAnsi="Arial"/>
                <w:sz w:val="13"/>
                <w:szCs w:val="13"/>
                <w:color w:val="auto"/>
              </w:rPr>
              <w:t>Share-based payment expense under U.S. GAAP</w:t>
            </w:r>
          </w:p>
        </w:tc>
        <w:tc>
          <w:tcPr>
            <w:tcW w:w="2600" w:type="dxa"/>
            <w:vAlign w:val="bottom"/>
          </w:tcPr>
          <w:p>
            <w:pPr>
              <w:jc w:val="right"/>
              <w:ind w:right="256"/>
              <w:spacing w:after="0"/>
              <w:rPr>
                <w:sz w:val="20"/>
                <w:szCs w:val="20"/>
                <w:color w:val="auto"/>
              </w:rPr>
            </w:pPr>
            <w:r>
              <w:rPr>
                <w:rFonts w:ascii="Arial" w:cs="Arial" w:eastAsia="Arial" w:hAnsi="Arial"/>
                <w:sz w:val="13"/>
                <w:szCs w:val="13"/>
                <w:b w:val="1"/>
                <w:bCs w:val="1"/>
                <w:color w:val="auto"/>
              </w:rPr>
              <w:t>(26,271)</w:t>
            </w:r>
          </w:p>
        </w:tc>
        <w:tc>
          <w:tcPr>
            <w:tcW w:w="1160" w:type="dxa"/>
            <w:vAlign w:val="bottom"/>
          </w:tcPr>
          <w:p>
            <w:pPr>
              <w:jc w:val="right"/>
              <w:spacing w:after="0"/>
              <w:rPr>
                <w:sz w:val="20"/>
                <w:szCs w:val="20"/>
                <w:color w:val="auto"/>
              </w:rPr>
            </w:pPr>
            <w:r>
              <w:rPr>
                <w:rFonts w:ascii="Arial" w:cs="Arial" w:eastAsia="Arial" w:hAnsi="Arial"/>
                <w:sz w:val="13"/>
                <w:szCs w:val="13"/>
                <w:color w:val="auto"/>
              </w:rPr>
              <w:t>(26,819)</w:t>
            </w:r>
          </w:p>
        </w:tc>
      </w:tr>
      <w:tr>
        <w:trPr>
          <w:trHeight w:val="170"/>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movement on put option under IFRS</w:t>
            </w:r>
          </w:p>
        </w:tc>
        <w:tc>
          <w:tcPr>
            <w:tcW w:w="26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(2,540)</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8,723</w:t>
            </w:r>
          </w:p>
        </w:tc>
      </w:tr>
      <w:tr>
        <w:trPr>
          <w:trHeight w:val="169"/>
        </w:trPr>
        <w:tc>
          <w:tcPr>
            <w:tcW w:w="732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w:t>
            </w:r>
          </w:p>
        </w:tc>
        <w:tc>
          <w:tcPr>
            <w:tcW w:w="2600" w:type="dxa"/>
            <w:vAlign w:val="bottom"/>
          </w:tcPr>
          <w:p>
            <w:pPr>
              <w:jc w:val="right"/>
              <w:ind w:right="296"/>
              <w:spacing w:after="0"/>
              <w:rPr>
                <w:sz w:val="20"/>
                <w:szCs w:val="20"/>
                <w:color w:val="auto"/>
              </w:rPr>
            </w:pPr>
            <w:r>
              <w:rPr>
                <w:rFonts w:ascii="Arial" w:cs="Arial" w:eastAsia="Arial" w:hAnsi="Arial"/>
                <w:sz w:val="13"/>
                <w:szCs w:val="13"/>
                <w:b w:val="1"/>
                <w:bCs w:val="1"/>
                <w:color w:val="auto"/>
              </w:rPr>
              <w:t>467</w:t>
            </w:r>
          </w:p>
        </w:tc>
        <w:tc>
          <w:tcPr>
            <w:tcW w:w="1160" w:type="dxa"/>
            <w:vAlign w:val="bottom"/>
          </w:tcPr>
          <w:p>
            <w:pPr>
              <w:jc w:val="right"/>
              <w:spacing w:after="0"/>
              <w:rPr>
                <w:sz w:val="20"/>
                <w:szCs w:val="20"/>
                <w:color w:val="auto"/>
              </w:rPr>
            </w:pPr>
            <w:r>
              <w:rPr>
                <w:rFonts w:ascii="Arial" w:cs="Arial" w:eastAsia="Arial" w:hAnsi="Arial"/>
                <w:sz w:val="13"/>
                <w:szCs w:val="13"/>
                <w:color w:val="auto"/>
              </w:rPr>
              <w:t>1,015</w:t>
            </w:r>
          </w:p>
        </w:tc>
      </w:tr>
      <w:tr>
        <w:trPr>
          <w:trHeight w:val="170"/>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w:t>
            </w:r>
          </w:p>
        </w:tc>
        <w:tc>
          <w:tcPr>
            <w:tcW w:w="26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(878)</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r>
      <w:tr>
        <w:trPr>
          <w:trHeight w:val="169"/>
        </w:trPr>
        <w:tc>
          <w:tcPr>
            <w:tcW w:w="7320" w:type="dxa"/>
            <w:vAlign w:val="bottom"/>
          </w:tcPr>
          <w:p>
            <w:pPr>
              <w:ind w:left="20"/>
              <w:spacing w:after="0"/>
              <w:rPr>
                <w:sz w:val="20"/>
                <w:szCs w:val="20"/>
                <w:color w:val="auto"/>
              </w:rPr>
            </w:pPr>
            <w:r>
              <w:rPr>
                <w:rFonts w:ascii="Arial" w:cs="Arial" w:eastAsia="Arial" w:hAnsi="Arial"/>
                <w:sz w:val="13"/>
                <w:szCs w:val="13"/>
                <w:color w:val="auto"/>
              </w:rPr>
              <w:t>Current tax adjustments on share-based payments</w:t>
            </w:r>
          </w:p>
        </w:tc>
        <w:tc>
          <w:tcPr>
            <w:tcW w:w="2600" w:type="dxa"/>
            <w:vAlign w:val="bottom"/>
          </w:tcPr>
          <w:p>
            <w:pPr>
              <w:jc w:val="right"/>
              <w:ind w:right="296"/>
              <w:spacing w:after="0"/>
              <w:rPr>
                <w:sz w:val="20"/>
                <w:szCs w:val="20"/>
                <w:color w:val="auto"/>
              </w:rPr>
            </w:pPr>
            <w:r>
              <w:rPr>
                <w:rFonts w:ascii="Arial" w:cs="Arial" w:eastAsia="Arial" w:hAnsi="Arial"/>
                <w:sz w:val="13"/>
                <w:szCs w:val="13"/>
                <w:b w:val="1"/>
                <w:bCs w:val="1"/>
                <w:color w:val="auto"/>
              </w:rPr>
              <w:t>3,816</w:t>
            </w:r>
          </w:p>
        </w:tc>
        <w:tc>
          <w:tcPr>
            <w:tcW w:w="1160" w:type="dxa"/>
            <w:vAlign w:val="bottom"/>
          </w:tcPr>
          <w:p>
            <w:pPr>
              <w:jc w:val="right"/>
              <w:spacing w:after="0"/>
              <w:rPr>
                <w:sz w:val="20"/>
                <w:szCs w:val="20"/>
                <w:color w:val="auto"/>
              </w:rPr>
            </w:pPr>
            <w:r>
              <w:rPr>
                <w:rFonts w:ascii="Arial" w:cs="Arial" w:eastAsia="Arial" w:hAnsi="Arial"/>
                <w:sz w:val="13"/>
                <w:szCs w:val="13"/>
                <w:color w:val="auto"/>
              </w:rPr>
              <w:t>7,046</w:t>
            </w:r>
          </w:p>
        </w:tc>
      </w:tr>
      <w:tr>
        <w:trPr>
          <w:trHeight w:val="170"/>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w:t>
            </w:r>
          </w:p>
        </w:tc>
        <w:tc>
          <w:tcPr>
            <w:tcW w:w="26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(60)</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r>
      <w:tr>
        <w:trPr>
          <w:trHeight w:val="169"/>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Additional costs defined benefit pension scheme</w:t>
            </w:r>
          </w:p>
        </w:tc>
        <w:tc>
          <w:tcPr>
            <w:tcW w:w="26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408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w:t>
            </w:r>
          </w:p>
        </w:tc>
      </w:tr>
      <w:tr>
        <w:trPr>
          <w:trHeight w:val="192"/>
        </w:trPr>
        <w:tc>
          <w:tcPr>
            <w:tcW w:w="73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71"/>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 as stated under U.S. GAAP</w:t>
            </w:r>
          </w:p>
        </w:tc>
        <w:tc>
          <w:tcPr>
            <w:tcW w:w="26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332,964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375,856</w:t>
            </w:r>
          </w:p>
        </w:tc>
      </w:tr>
      <w:tr>
        <w:trPr>
          <w:trHeight w:val="202"/>
        </w:trPr>
        <w:tc>
          <w:tcPr>
            <w:tcW w:w="73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71"/>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Basic earnings per Ordinary Share under U.S. GAAP</w:t>
            </w:r>
          </w:p>
        </w:tc>
        <w:tc>
          <w:tcPr>
            <w:tcW w:w="26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$6.20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$6.85</w:t>
            </w:r>
          </w:p>
        </w:tc>
      </w:tr>
      <w:tr>
        <w:trPr>
          <w:trHeight w:val="202"/>
        </w:trPr>
        <w:tc>
          <w:tcPr>
            <w:tcW w:w="73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71"/>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Diluted earnings per Ordinary Share under U.S. GAAP</w:t>
            </w:r>
          </w:p>
        </w:tc>
        <w:tc>
          <w:tcPr>
            <w:tcW w:w="26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$6.15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280"/>
          </w:cols>
          <w:pgMar w:left="300" w:top="1268" w:right="31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61"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(ii)Effect on shareholders’ equity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7000" w:type="dxa"/>
            <w:vAlign w:val="bottom"/>
            <w:shd w:val="clear" w:color="auto" w:fill="CCEEFF"/>
          </w:tcPr>
          <w:p>
            <w:pPr>
              <w:spacing w:after="0"/>
              <w:rPr>
                <w:sz w:val="13"/>
                <w:szCs w:val="13"/>
                <w:color w:val="auto"/>
              </w:rPr>
            </w:pPr>
          </w:p>
        </w:tc>
        <w:tc>
          <w:tcPr>
            <w:tcW w:w="29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200" w:type="dxa"/>
            <w:vAlign w:val="bottom"/>
          </w:tcPr>
          <w:p>
            <w:pPr>
              <w:spacing w:after="0"/>
              <w:rPr>
                <w:sz w:val="14"/>
                <w:szCs w:val="14"/>
                <w:color w:val="auto"/>
              </w:rPr>
            </w:pPr>
          </w:p>
        </w:tc>
        <w:tc>
          <w:tcPr>
            <w:tcW w:w="700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20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9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12"/>
        </w:trPr>
        <w:tc>
          <w:tcPr>
            <w:tcW w:w="20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69"/>
        </w:trPr>
        <w:tc>
          <w:tcPr>
            <w:tcW w:w="200" w:type="dxa"/>
            <w:vAlign w:val="bottom"/>
          </w:tcPr>
          <w:p>
            <w:pPr>
              <w:spacing w:after="0"/>
              <w:rPr>
                <w:sz w:val="14"/>
                <w:szCs w:val="14"/>
                <w:color w:val="auto"/>
              </w:rPr>
            </w:pPr>
          </w:p>
        </w:tc>
        <w:tc>
          <w:tcPr>
            <w:tcW w:w="7000" w:type="dxa"/>
            <w:vAlign w:val="bottom"/>
          </w:tcPr>
          <w:p>
            <w:pPr>
              <w:ind w:left="20"/>
              <w:spacing w:after="0"/>
              <w:rPr>
                <w:sz w:val="20"/>
                <w:szCs w:val="20"/>
                <w:color w:val="auto"/>
              </w:rPr>
            </w:pPr>
            <w:r>
              <w:rPr>
                <w:rFonts w:ascii="Arial" w:cs="Arial" w:eastAsia="Arial" w:hAnsi="Arial"/>
                <w:sz w:val="13"/>
                <w:szCs w:val="13"/>
                <w:color w:val="auto"/>
              </w:rPr>
              <w:t>Total equity attributable to the owners and noncontrolling interest as stated under IFRS</w:t>
            </w:r>
          </w:p>
        </w:tc>
        <w:tc>
          <w:tcPr>
            <w:tcW w:w="2960" w:type="dxa"/>
            <w:vAlign w:val="bottom"/>
          </w:tcPr>
          <w:p>
            <w:pPr>
              <w:jc w:val="right"/>
              <w:ind w:right="336"/>
              <w:spacing w:after="0"/>
              <w:rPr>
                <w:sz w:val="20"/>
                <w:szCs w:val="20"/>
                <w:color w:val="auto"/>
              </w:rPr>
            </w:pPr>
            <w:r>
              <w:rPr>
                <w:rFonts w:ascii="Arial" w:cs="Arial" w:eastAsia="Arial" w:hAnsi="Arial"/>
                <w:sz w:val="13"/>
                <w:szCs w:val="13"/>
                <w:b w:val="1"/>
                <w:bCs w:val="1"/>
                <w:color w:val="auto"/>
              </w:rPr>
              <w:t>1,880,669</w:t>
            </w:r>
          </w:p>
        </w:tc>
        <w:tc>
          <w:tcPr>
            <w:tcW w:w="1120" w:type="dxa"/>
            <w:vAlign w:val="bottom"/>
          </w:tcPr>
          <w:p>
            <w:pPr>
              <w:jc w:val="right"/>
              <w:spacing w:after="0"/>
              <w:rPr>
                <w:sz w:val="20"/>
                <w:szCs w:val="20"/>
                <w:color w:val="auto"/>
              </w:rPr>
            </w:pPr>
            <w:r>
              <w:rPr>
                <w:rFonts w:ascii="Arial" w:cs="Arial" w:eastAsia="Arial" w:hAnsi="Arial"/>
                <w:sz w:val="13"/>
                <w:szCs w:val="13"/>
                <w:color w:val="auto"/>
              </w:rPr>
              <w:t>1,641,609</w:t>
            </w:r>
          </w:p>
        </w:tc>
      </w:tr>
      <w:tr>
        <w:trPr>
          <w:trHeight w:val="212"/>
        </w:trPr>
        <w:tc>
          <w:tcPr>
            <w:tcW w:w="20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69"/>
        </w:trPr>
        <w:tc>
          <w:tcPr>
            <w:tcW w:w="200" w:type="dxa"/>
            <w:vAlign w:val="bottom"/>
          </w:tcPr>
          <w:p>
            <w:pPr>
              <w:spacing w:after="0"/>
              <w:rPr>
                <w:sz w:val="14"/>
                <w:szCs w:val="14"/>
                <w:color w:val="auto"/>
              </w:rPr>
            </w:pPr>
          </w:p>
        </w:tc>
        <w:tc>
          <w:tcPr>
            <w:tcW w:w="7000" w:type="dxa"/>
            <w:vAlign w:val="bottom"/>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00" w:type="dxa"/>
            <w:vAlign w:val="bottom"/>
          </w:tcPr>
          <w:p>
            <w:pPr>
              <w:spacing w:after="0"/>
              <w:rPr>
                <w:sz w:val="14"/>
                <w:szCs w:val="14"/>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Accretion adjustment to bring noncontrolling interest to redemption amount</w:t>
            </w:r>
          </w:p>
        </w:tc>
        <w:tc>
          <w:tcPr>
            <w:tcW w:w="29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5,048</w:t>
            </w:r>
          </w:p>
        </w:tc>
      </w:tr>
      <w:tr>
        <w:trPr>
          <w:trHeight w:val="169"/>
        </w:trPr>
        <w:tc>
          <w:tcPr>
            <w:tcW w:w="200" w:type="dxa"/>
            <w:vAlign w:val="bottom"/>
          </w:tcPr>
          <w:p>
            <w:pPr>
              <w:spacing w:after="0"/>
              <w:rPr>
                <w:sz w:val="14"/>
                <w:szCs w:val="14"/>
                <w:color w:val="auto"/>
              </w:rPr>
            </w:pPr>
          </w:p>
        </w:tc>
        <w:tc>
          <w:tcPr>
            <w:tcW w:w="7000" w:type="dxa"/>
            <w:vAlign w:val="bottom"/>
          </w:tcPr>
          <w:p>
            <w:pPr>
              <w:ind w:left="20"/>
              <w:spacing w:after="0"/>
              <w:rPr>
                <w:sz w:val="20"/>
                <w:szCs w:val="20"/>
                <w:color w:val="auto"/>
              </w:rPr>
            </w:pPr>
            <w:r>
              <w:rPr>
                <w:rFonts w:ascii="Arial" w:cs="Arial" w:eastAsia="Arial" w:hAnsi="Arial"/>
                <w:sz w:val="13"/>
                <w:szCs w:val="13"/>
                <w:color w:val="auto"/>
              </w:rPr>
              <w:t>Retained earnings impact of noncontrolling interest accretion adjustment</w:t>
            </w:r>
          </w:p>
        </w:tc>
        <w:tc>
          <w:tcPr>
            <w:tcW w:w="296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(5,048)</w:t>
            </w:r>
          </w:p>
        </w:tc>
      </w:tr>
      <w:tr>
        <w:trPr>
          <w:trHeight w:val="170"/>
        </w:trPr>
        <w:tc>
          <w:tcPr>
            <w:tcW w:w="200" w:type="dxa"/>
            <w:vAlign w:val="bottom"/>
          </w:tcPr>
          <w:p>
            <w:pPr>
              <w:spacing w:after="0"/>
              <w:rPr>
                <w:sz w:val="14"/>
                <w:szCs w:val="14"/>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 amortisation adjustment under IFRS</w:t>
            </w:r>
          </w:p>
        </w:tc>
        <w:tc>
          <w:tcPr>
            <w:tcW w:w="29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1,482</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w:t>
            </w:r>
          </w:p>
        </w:tc>
      </w:tr>
      <w:tr>
        <w:trPr>
          <w:trHeight w:val="169"/>
        </w:trPr>
        <w:tc>
          <w:tcPr>
            <w:tcW w:w="200" w:type="dxa"/>
            <w:vAlign w:val="bottom"/>
          </w:tcPr>
          <w:p>
            <w:pPr>
              <w:spacing w:after="0"/>
              <w:rPr>
                <w:sz w:val="14"/>
                <w:szCs w:val="14"/>
                <w:color w:val="auto"/>
              </w:rPr>
            </w:pPr>
          </w:p>
        </w:tc>
        <w:tc>
          <w:tcPr>
            <w:tcW w:w="7000" w:type="dxa"/>
            <w:vAlign w:val="bottom"/>
          </w:tcPr>
          <w:p>
            <w:pPr>
              <w:ind w:left="20"/>
              <w:spacing w:after="0"/>
              <w:rPr>
                <w:sz w:val="20"/>
                <w:szCs w:val="20"/>
                <w:color w:val="auto"/>
              </w:rPr>
            </w:pPr>
            <w:r>
              <w:rPr>
                <w:rFonts w:ascii="Arial" w:cs="Arial" w:eastAsia="Arial" w:hAnsi="Arial"/>
                <w:sz w:val="13"/>
                <w:szCs w:val="13"/>
                <w:color w:val="auto"/>
              </w:rPr>
              <w:t>Deferred tax adjustments on leases</w:t>
            </w:r>
          </w:p>
        </w:tc>
        <w:tc>
          <w:tcPr>
            <w:tcW w:w="2960" w:type="dxa"/>
            <w:vAlign w:val="bottom"/>
          </w:tcPr>
          <w:p>
            <w:pPr>
              <w:jc w:val="right"/>
              <w:ind w:right="296"/>
              <w:spacing w:after="0"/>
              <w:rPr>
                <w:sz w:val="20"/>
                <w:szCs w:val="20"/>
                <w:color w:val="auto"/>
              </w:rPr>
            </w:pPr>
            <w:r>
              <w:rPr>
                <w:rFonts w:ascii="Arial" w:cs="Arial" w:eastAsia="Arial" w:hAnsi="Arial"/>
                <w:sz w:val="13"/>
                <w:szCs w:val="13"/>
                <w:b w:val="1"/>
                <w:bCs w:val="1"/>
                <w:color w:val="auto"/>
              </w:rPr>
              <w:t>(240)</w:t>
            </w:r>
          </w:p>
        </w:tc>
        <w:tc>
          <w:tcPr>
            <w:tcW w:w="1120" w:type="dxa"/>
            <w:vAlign w:val="bottom"/>
          </w:tcPr>
          <w:p>
            <w:pPr>
              <w:jc w:val="right"/>
              <w:spacing w:after="0"/>
              <w:rPr>
                <w:sz w:val="20"/>
                <w:szCs w:val="20"/>
                <w:color w:val="auto"/>
              </w:rPr>
            </w:pPr>
            <w:r>
              <w:rPr>
                <w:rFonts w:ascii="Arial" w:cs="Arial" w:eastAsia="Arial" w:hAnsi="Arial"/>
                <w:sz w:val="13"/>
                <w:szCs w:val="13"/>
                <w:color w:val="auto"/>
              </w:rPr>
              <w:t>(181)</w:t>
            </w:r>
          </w:p>
        </w:tc>
      </w:tr>
      <w:tr>
        <w:trPr>
          <w:trHeight w:val="170"/>
        </w:trPr>
        <w:tc>
          <w:tcPr>
            <w:tcW w:w="200" w:type="dxa"/>
            <w:vAlign w:val="bottom"/>
          </w:tcPr>
          <w:p>
            <w:pPr>
              <w:spacing w:after="0"/>
              <w:rPr>
                <w:sz w:val="14"/>
                <w:szCs w:val="14"/>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Put option on noncontrolling interest shares recognised separately under IFRS</w:t>
            </w:r>
          </w:p>
        </w:tc>
        <w:tc>
          <w:tcPr>
            <w:tcW w:w="29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47,205</w:t>
            </w:r>
          </w:p>
        </w:tc>
      </w:tr>
      <w:tr>
        <w:trPr>
          <w:trHeight w:val="169"/>
        </w:trPr>
        <w:tc>
          <w:tcPr>
            <w:tcW w:w="200" w:type="dxa"/>
            <w:vAlign w:val="bottom"/>
          </w:tcPr>
          <w:p>
            <w:pPr>
              <w:spacing w:after="0"/>
              <w:rPr>
                <w:sz w:val="14"/>
                <w:szCs w:val="14"/>
                <w:color w:val="auto"/>
              </w:rPr>
            </w:pPr>
          </w:p>
        </w:tc>
        <w:tc>
          <w:tcPr>
            <w:tcW w:w="7000" w:type="dxa"/>
            <w:vAlign w:val="bottom"/>
          </w:tcPr>
          <w:p>
            <w:pPr>
              <w:ind w:left="20"/>
              <w:spacing w:after="0"/>
              <w:rPr>
                <w:sz w:val="20"/>
                <w:szCs w:val="20"/>
                <w:color w:val="auto"/>
              </w:rPr>
            </w:pPr>
            <w:r>
              <w:rPr>
                <w:rFonts w:ascii="Arial" w:cs="Arial" w:eastAsia="Arial" w:hAnsi="Arial"/>
                <w:sz w:val="13"/>
                <w:szCs w:val="13"/>
                <w:color w:val="auto"/>
              </w:rPr>
              <w:t>Goodwill (net) arising on merger with PRAI</w:t>
            </w:r>
          </w:p>
        </w:tc>
        <w:tc>
          <w:tcPr>
            <w:tcW w:w="2960" w:type="dxa"/>
            <w:vAlign w:val="bottom"/>
          </w:tcPr>
          <w:p>
            <w:pPr>
              <w:jc w:val="right"/>
              <w:ind w:right="296"/>
              <w:spacing w:after="0"/>
              <w:rPr>
                <w:sz w:val="20"/>
                <w:szCs w:val="20"/>
                <w:color w:val="auto"/>
              </w:rPr>
            </w:pPr>
            <w:r>
              <w:rPr>
                <w:rFonts w:ascii="Arial" w:cs="Arial" w:eastAsia="Arial" w:hAnsi="Arial"/>
                <w:sz w:val="13"/>
                <w:szCs w:val="13"/>
                <w:b w:val="1"/>
                <w:bCs w:val="1"/>
                <w:color w:val="auto"/>
              </w:rPr>
              <w:t>(14,009)</w:t>
            </w:r>
          </w:p>
        </w:tc>
        <w:tc>
          <w:tcPr>
            <w:tcW w:w="1120" w:type="dxa"/>
            <w:vAlign w:val="bottom"/>
          </w:tcPr>
          <w:p>
            <w:pPr>
              <w:jc w:val="right"/>
              <w:spacing w:after="0"/>
              <w:rPr>
                <w:sz w:val="20"/>
                <w:szCs w:val="20"/>
                <w:color w:val="auto"/>
              </w:rPr>
            </w:pPr>
            <w:r>
              <w:rPr>
                <w:rFonts w:ascii="Arial" w:cs="Arial" w:eastAsia="Arial" w:hAnsi="Arial"/>
                <w:sz w:val="13"/>
                <w:szCs w:val="13"/>
                <w:color w:val="auto"/>
              </w:rPr>
              <w:t>(14,009)</w:t>
            </w:r>
          </w:p>
        </w:tc>
      </w:tr>
      <w:tr>
        <w:trPr>
          <w:trHeight w:val="170"/>
        </w:trPr>
        <w:tc>
          <w:tcPr>
            <w:tcW w:w="200" w:type="dxa"/>
            <w:vAlign w:val="bottom"/>
          </w:tcPr>
          <w:p>
            <w:pPr>
              <w:spacing w:after="0"/>
              <w:rPr>
                <w:sz w:val="14"/>
                <w:szCs w:val="14"/>
                <w:color w:val="auto"/>
              </w:rPr>
            </w:pPr>
          </w:p>
        </w:tc>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w:t>
            </w:r>
          </w:p>
        </w:tc>
        <w:tc>
          <w:tcPr>
            <w:tcW w:w="29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(17,666)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(18,074)</w:t>
            </w:r>
          </w:p>
        </w:tc>
      </w:tr>
      <w:tr>
        <w:trPr>
          <w:trHeight w:val="192"/>
        </w:trPr>
        <w:tc>
          <w:tcPr>
            <w:tcW w:w="20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1"/>
        </w:trPr>
        <w:tc>
          <w:tcPr>
            <w:tcW w:w="200" w:type="dxa"/>
            <w:vAlign w:val="bottom"/>
          </w:tcPr>
          <w:p>
            <w:pPr>
              <w:spacing w:after="0"/>
              <w:rPr>
                <w:sz w:val="14"/>
                <w:szCs w:val="14"/>
                <w:color w:val="auto"/>
              </w:rPr>
            </w:pPr>
          </w:p>
        </w:tc>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and noncontrolling interest as stated under U.S. GAAP</w:t>
            </w:r>
          </w:p>
        </w:tc>
        <w:tc>
          <w:tcPr>
            <w:tcW w:w="2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1,850,236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1,657,565</w:t>
            </w:r>
          </w:p>
        </w:tc>
      </w:tr>
      <w:tr>
        <w:trPr>
          <w:trHeight w:val="417"/>
        </w:trPr>
        <w:tc>
          <w:tcPr>
            <w:tcW w:w="20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3"/>
                <w:szCs w:val="13"/>
                <w:i w:val="1"/>
                <w:iCs w:val="1"/>
                <w:color w:val="auto"/>
              </w:rPr>
              <w:t>(iii)  Effect on total assets</w:t>
            </w: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200" w:type="dxa"/>
            <w:vAlign w:val="bottom"/>
            <w:tcBorders>
              <w:right w:val="single" w:sz="8" w:color="CCEEFF"/>
            </w:tcBorders>
          </w:tcPr>
          <w:p>
            <w:pPr>
              <w:spacing w:after="0"/>
              <w:rPr>
                <w:sz w:val="11"/>
                <w:szCs w:val="11"/>
                <w:color w:val="auto"/>
              </w:rPr>
            </w:pPr>
          </w:p>
        </w:tc>
        <w:tc>
          <w:tcPr>
            <w:tcW w:w="7000" w:type="dxa"/>
            <w:vAlign w:val="bottom"/>
            <w:shd w:val="clear" w:color="auto" w:fill="CCEEFF"/>
          </w:tcPr>
          <w:p>
            <w:pPr>
              <w:spacing w:after="0"/>
              <w:rPr>
                <w:sz w:val="11"/>
                <w:szCs w:val="11"/>
                <w:color w:val="auto"/>
              </w:rPr>
            </w:pPr>
          </w:p>
        </w:tc>
        <w:tc>
          <w:tcPr>
            <w:tcW w:w="2960" w:type="dxa"/>
            <w:vAlign w:val="bottom"/>
            <w:shd w:val="clear" w:color="auto" w:fill="CCEEFF"/>
          </w:tcPr>
          <w:p>
            <w:pPr>
              <w:jc w:val="right"/>
              <w:ind w:right="296"/>
              <w:spacing w:after="0" w:line="135" w:lineRule="exact"/>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 December</w:t>
            </w:r>
          </w:p>
        </w:tc>
      </w:tr>
      <w:tr>
        <w:trPr>
          <w:trHeight w:val="169"/>
        </w:trPr>
        <w:tc>
          <w:tcPr>
            <w:tcW w:w="200" w:type="dxa"/>
            <w:vAlign w:val="bottom"/>
            <w:tcBorders>
              <w:right w:val="single" w:sz="8" w:color="CCEEFF"/>
            </w:tcBorders>
          </w:tcPr>
          <w:p>
            <w:pPr>
              <w:spacing w:after="0"/>
              <w:rPr>
                <w:sz w:val="14"/>
                <w:szCs w:val="14"/>
                <w:color w:val="auto"/>
              </w:rPr>
            </w:pPr>
          </w:p>
        </w:tc>
        <w:tc>
          <w:tcPr>
            <w:tcW w:w="700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20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9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02"/>
        </w:trPr>
        <w:tc>
          <w:tcPr>
            <w:tcW w:w="200" w:type="dxa"/>
            <w:vAlign w:val="bottom"/>
            <w:tcBorders>
              <w:right w:val="single" w:sz="8" w:color="CCEEFF"/>
            </w:tcBorders>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3"/>
        </w:trPr>
        <w:tc>
          <w:tcPr>
            <w:tcW w:w="20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Total assets as stated under IFRS</w:t>
            </w:r>
          </w:p>
        </w:tc>
        <w:tc>
          <w:tcPr>
            <w:tcW w:w="2960" w:type="dxa"/>
            <w:vAlign w:val="bottom"/>
          </w:tcPr>
          <w:p>
            <w:pPr>
              <w:jc w:val="right"/>
              <w:ind w:right="336"/>
              <w:spacing w:after="0"/>
              <w:rPr>
                <w:sz w:val="20"/>
                <w:szCs w:val="20"/>
                <w:color w:val="auto"/>
              </w:rPr>
            </w:pPr>
            <w:r>
              <w:rPr>
                <w:rFonts w:ascii="Arial" w:cs="Arial" w:eastAsia="Arial" w:hAnsi="Arial"/>
                <w:sz w:val="13"/>
                <w:szCs w:val="13"/>
                <w:b w:val="1"/>
                <w:bCs w:val="1"/>
                <w:color w:val="auto"/>
              </w:rPr>
              <w:t>3,465,799</w:t>
            </w:r>
          </w:p>
        </w:tc>
        <w:tc>
          <w:tcPr>
            <w:tcW w:w="1120" w:type="dxa"/>
            <w:vAlign w:val="bottom"/>
          </w:tcPr>
          <w:p>
            <w:pPr>
              <w:jc w:val="right"/>
              <w:spacing w:after="0"/>
              <w:rPr>
                <w:sz w:val="20"/>
                <w:szCs w:val="20"/>
                <w:color w:val="auto"/>
              </w:rPr>
            </w:pPr>
            <w:r>
              <w:rPr>
                <w:rFonts w:ascii="Arial" w:cs="Arial" w:eastAsia="Arial" w:hAnsi="Arial"/>
                <w:sz w:val="13"/>
                <w:szCs w:val="13"/>
                <w:color w:val="auto"/>
              </w:rPr>
              <w:t>2,938,580</w:t>
            </w:r>
          </w:p>
        </w:tc>
      </w:tr>
      <w:tr>
        <w:trPr>
          <w:trHeight w:val="209"/>
        </w:trPr>
        <w:tc>
          <w:tcPr>
            <w:tcW w:w="200" w:type="dxa"/>
            <w:vAlign w:val="bottom"/>
            <w:tcBorders>
              <w:right w:val="single" w:sz="8" w:color="CCEEFF"/>
            </w:tcBorders>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69"/>
        </w:trPr>
        <w:tc>
          <w:tcPr>
            <w:tcW w:w="20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3"/>
                <w:szCs w:val="13"/>
                <w:b w:val="1"/>
                <w:bCs w:val="1"/>
                <w:color w:val="auto"/>
              </w:rPr>
              <w:t>U.S. GAAP adjustments</w:t>
            </w:r>
          </w:p>
        </w:tc>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200" w:type="dxa"/>
            <w:vAlign w:val="bottom"/>
            <w:tcBorders>
              <w:right w:val="single" w:sz="8" w:color="CCEEFF"/>
            </w:tcBorders>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Right-of-use asset amortisation adjustment under IFRS</w:t>
            </w:r>
          </w:p>
        </w:tc>
        <w:tc>
          <w:tcPr>
            <w:tcW w:w="29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1,482</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w:t>
            </w:r>
          </w:p>
        </w:tc>
      </w:tr>
      <w:tr>
        <w:trPr>
          <w:trHeight w:val="169"/>
        </w:trPr>
        <w:tc>
          <w:tcPr>
            <w:tcW w:w="20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Goodwill (net) arising on merger with PRAI</w:t>
            </w:r>
          </w:p>
        </w:tc>
        <w:tc>
          <w:tcPr>
            <w:tcW w:w="2960" w:type="dxa"/>
            <w:vAlign w:val="bottom"/>
          </w:tcPr>
          <w:p>
            <w:pPr>
              <w:jc w:val="right"/>
              <w:ind w:right="316"/>
              <w:spacing w:after="0"/>
              <w:rPr>
                <w:sz w:val="20"/>
                <w:szCs w:val="20"/>
                <w:color w:val="auto"/>
              </w:rPr>
            </w:pPr>
            <w:r>
              <w:rPr>
                <w:rFonts w:ascii="Arial" w:cs="Arial" w:eastAsia="Arial" w:hAnsi="Arial"/>
                <w:sz w:val="13"/>
                <w:szCs w:val="13"/>
                <w:b w:val="1"/>
                <w:bCs w:val="1"/>
                <w:color w:val="auto"/>
              </w:rPr>
              <w:t>(14,009)</w:t>
            </w:r>
          </w:p>
        </w:tc>
        <w:tc>
          <w:tcPr>
            <w:tcW w:w="1120" w:type="dxa"/>
            <w:vAlign w:val="bottom"/>
          </w:tcPr>
          <w:p>
            <w:pPr>
              <w:jc w:val="right"/>
              <w:spacing w:after="0"/>
              <w:rPr>
                <w:sz w:val="20"/>
                <w:szCs w:val="20"/>
                <w:color w:val="auto"/>
              </w:rPr>
            </w:pPr>
            <w:r>
              <w:rPr>
                <w:rFonts w:ascii="Arial" w:cs="Arial" w:eastAsia="Arial" w:hAnsi="Arial"/>
                <w:sz w:val="13"/>
                <w:szCs w:val="13"/>
                <w:color w:val="auto"/>
              </w:rPr>
              <w:t>(14,009)</w:t>
            </w:r>
          </w:p>
        </w:tc>
      </w:tr>
      <w:tr>
        <w:trPr>
          <w:trHeight w:val="170"/>
        </w:trPr>
        <w:tc>
          <w:tcPr>
            <w:tcW w:w="200" w:type="dxa"/>
            <w:vAlign w:val="bottom"/>
            <w:tcBorders>
              <w:right w:val="single" w:sz="8" w:color="CCEEFF"/>
            </w:tcBorders>
          </w:tcPr>
          <w:p>
            <w:pPr>
              <w:spacing w:after="0"/>
              <w:rPr>
                <w:sz w:val="14"/>
                <w:szCs w:val="14"/>
                <w:color w:val="auto"/>
              </w:rPr>
            </w:pPr>
          </w:p>
        </w:tc>
        <w:tc>
          <w:tcPr>
            <w:tcW w:w="7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Deferred tax adjustments on share-based payments</w:t>
            </w:r>
          </w:p>
        </w:tc>
        <w:tc>
          <w:tcPr>
            <w:tcW w:w="29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(17,666)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(18,074)</w:t>
            </w:r>
          </w:p>
        </w:tc>
      </w:tr>
      <w:tr>
        <w:trPr>
          <w:trHeight w:val="192"/>
        </w:trPr>
        <w:tc>
          <w:tcPr>
            <w:tcW w:w="20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1"/>
        </w:trPr>
        <w:tc>
          <w:tcPr>
            <w:tcW w:w="200" w:type="dxa"/>
            <w:vAlign w:val="bottom"/>
            <w:tcBorders>
              <w:right w:val="single" w:sz="8" w:color="CCEEFF"/>
            </w:tcBorders>
          </w:tcPr>
          <w:p>
            <w:pPr>
              <w:spacing w:after="0"/>
              <w:rPr>
                <w:sz w:val="14"/>
                <w:szCs w:val="14"/>
                <w:color w:val="auto"/>
              </w:rPr>
            </w:pPr>
          </w:p>
        </w:tc>
        <w:tc>
          <w:tcPr>
            <w:tcW w:w="7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 assets as stated under U.S. GAAP</w:t>
            </w:r>
          </w:p>
        </w:tc>
        <w:tc>
          <w:tcPr>
            <w:tcW w:w="2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3,435,606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2,907,512</w:t>
            </w:r>
          </w:p>
        </w:tc>
      </w:tr>
      <w:tr>
        <w:trPr>
          <w:trHeight w:val="420"/>
        </w:trPr>
        <w:tc>
          <w:tcPr>
            <w:tcW w:w="7200" w:type="dxa"/>
            <w:vAlign w:val="bottom"/>
            <w:gridSpan w:val="2"/>
          </w:tcPr>
          <w:p>
            <w:pPr>
              <w:spacing w:after="0"/>
              <w:rPr>
                <w:sz w:val="20"/>
                <w:szCs w:val="20"/>
                <w:color w:val="auto"/>
              </w:rPr>
            </w:pPr>
            <w:r>
              <w:rPr>
                <w:rFonts w:ascii="Arial" w:cs="Arial" w:eastAsia="Arial" w:hAnsi="Arial"/>
                <w:sz w:val="13"/>
                <w:szCs w:val="13"/>
                <w:i w:val="1"/>
                <w:iCs w:val="1"/>
                <w:color w:val="auto"/>
              </w:rPr>
              <w:t>(iv) Effect on total liabilities</w:t>
            </w: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9"/>
        </w:trPr>
        <w:tc>
          <w:tcPr>
            <w:tcW w:w="200" w:type="dxa"/>
            <w:vAlign w:val="bottom"/>
          </w:tcPr>
          <w:p>
            <w:pPr>
              <w:spacing w:after="0"/>
              <w:rPr>
                <w:sz w:val="7"/>
                <w:szCs w:val="7"/>
                <w:color w:val="auto"/>
              </w:rPr>
            </w:pPr>
          </w:p>
        </w:tc>
        <w:tc>
          <w:tcPr>
            <w:tcW w:w="700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127"/>
        </w:trPr>
        <w:tc>
          <w:tcPr>
            <w:tcW w:w="200" w:type="dxa"/>
            <w:vAlign w:val="bottom"/>
            <w:tcBorders>
              <w:right w:val="single" w:sz="8" w:color="CCEEFF"/>
            </w:tcBorders>
            <w:shd w:val="clear" w:color="auto" w:fill="CCEEFF"/>
          </w:tcPr>
          <w:p>
            <w:pPr>
              <w:spacing w:after="0"/>
              <w:rPr>
                <w:sz w:val="11"/>
                <w:szCs w:val="11"/>
                <w:color w:val="auto"/>
              </w:rPr>
            </w:pPr>
          </w:p>
        </w:tc>
        <w:tc>
          <w:tcPr>
            <w:tcW w:w="7000" w:type="dxa"/>
            <w:vAlign w:val="bottom"/>
            <w:shd w:val="clear" w:color="auto" w:fill="CCEEFF"/>
          </w:tcPr>
          <w:p>
            <w:pPr>
              <w:spacing w:after="0"/>
              <w:rPr>
                <w:sz w:val="11"/>
                <w:szCs w:val="11"/>
                <w:color w:val="auto"/>
              </w:rPr>
            </w:pPr>
          </w:p>
        </w:tc>
        <w:tc>
          <w:tcPr>
            <w:tcW w:w="2960" w:type="dxa"/>
            <w:vAlign w:val="bottom"/>
            <w:shd w:val="clear" w:color="auto" w:fill="CCEEFF"/>
          </w:tcPr>
          <w:p>
            <w:pPr>
              <w:jc w:val="right"/>
              <w:ind w:right="316"/>
              <w:spacing w:after="0" w:line="128" w:lineRule="exact"/>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69"/>
        </w:trPr>
        <w:tc>
          <w:tcPr>
            <w:tcW w:w="200" w:type="dxa"/>
            <w:vAlign w:val="bottom"/>
            <w:tcBorders>
              <w:bottom w:val="single" w:sz="8" w:color="auto"/>
              <w:right w:val="single" w:sz="8" w:color="CCEEFF"/>
            </w:tcBorders>
            <w:shd w:val="clear" w:color="auto" w:fill="CCEEFF"/>
          </w:tcPr>
          <w:p>
            <w:pPr>
              <w:spacing w:after="0"/>
              <w:rPr>
                <w:sz w:val="14"/>
                <w:szCs w:val="14"/>
                <w:color w:val="auto"/>
              </w:rPr>
            </w:pPr>
          </w:p>
        </w:tc>
        <w:tc>
          <w:tcPr>
            <w:tcW w:w="700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w:t>
            </w:r>
          </w:p>
        </w:tc>
      </w:tr>
      <w:tr>
        <w:trPr>
          <w:trHeight w:val="160"/>
        </w:trPr>
        <w:tc>
          <w:tcPr>
            <w:tcW w:w="20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960" w:type="dxa"/>
            <w:vAlign w:val="bottom"/>
          </w:tcPr>
          <w:p>
            <w:pPr>
              <w:jc w:val="right"/>
              <w:ind w:right="31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02"/>
        </w:trPr>
        <w:tc>
          <w:tcPr>
            <w:tcW w:w="7200" w:type="dxa"/>
            <w:vAlign w:val="bottom"/>
            <w:gridSpan w:val="2"/>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3"/>
        </w:trPr>
        <w:tc>
          <w:tcPr>
            <w:tcW w:w="7200" w:type="dxa"/>
            <w:vAlign w:val="bottom"/>
            <w:gridSpan w:val="2"/>
          </w:tcPr>
          <w:p>
            <w:pPr>
              <w:ind w:left="20"/>
              <w:spacing w:after="0"/>
              <w:rPr>
                <w:sz w:val="20"/>
                <w:szCs w:val="20"/>
                <w:color w:val="auto"/>
              </w:rPr>
            </w:pPr>
            <w:r>
              <w:rPr>
                <w:rFonts w:ascii="Arial" w:cs="Arial" w:eastAsia="Arial" w:hAnsi="Arial"/>
                <w:sz w:val="13"/>
                <w:szCs w:val="13"/>
                <w:color w:val="auto"/>
              </w:rPr>
              <w:t>Total liabilities as stated under IFRS</w:t>
            </w:r>
          </w:p>
        </w:tc>
        <w:tc>
          <w:tcPr>
            <w:tcW w:w="2960" w:type="dxa"/>
            <w:vAlign w:val="bottom"/>
          </w:tcPr>
          <w:p>
            <w:pPr>
              <w:jc w:val="right"/>
              <w:ind w:right="356"/>
              <w:spacing w:after="0"/>
              <w:rPr>
                <w:sz w:val="20"/>
                <w:szCs w:val="20"/>
                <w:color w:val="auto"/>
              </w:rPr>
            </w:pPr>
            <w:r>
              <w:rPr>
                <w:rFonts w:ascii="Arial" w:cs="Arial" w:eastAsia="Arial" w:hAnsi="Arial"/>
                <w:sz w:val="13"/>
                <w:szCs w:val="13"/>
                <w:b w:val="1"/>
                <w:bCs w:val="1"/>
                <w:color w:val="auto"/>
              </w:rPr>
              <w:t>1,585,130</w:t>
            </w:r>
          </w:p>
        </w:tc>
        <w:tc>
          <w:tcPr>
            <w:tcW w:w="1120" w:type="dxa"/>
            <w:vAlign w:val="bottom"/>
          </w:tcPr>
          <w:p>
            <w:pPr>
              <w:jc w:val="right"/>
              <w:spacing w:after="0"/>
              <w:rPr>
                <w:sz w:val="20"/>
                <w:szCs w:val="20"/>
                <w:color w:val="auto"/>
              </w:rPr>
            </w:pPr>
            <w:r>
              <w:rPr>
                <w:rFonts w:ascii="Arial" w:cs="Arial" w:eastAsia="Arial" w:hAnsi="Arial"/>
                <w:sz w:val="13"/>
                <w:szCs w:val="13"/>
                <w:color w:val="auto"/>
              </w:rPr>
              <w:t>1,296,971</w:t>
            </w:r>
          </w:p>
        </w:tc>
      </w:tr>
      <w:tr>
        <w:trPr>
          <w:trHeight w:val="209"/>
        </w:trPr>
        <w:tc>
          <w:tcPr>
            <w:tcW w:w="7200" w:type="dxa"/>
            <w:vAlign w:val="bottom"/>
            <w:gridSpan w:val="2"/>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69"/>
        </w:trPr>
        <w:tc>
          <w:tcPr>
            <w:tcW w:w="7200" w:type="dxa"/>
            <w:vAlign w:val="bottom"/>
            <w:gridSpan w:val="2"/>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Put option on noncontrolling interest shares recognised separately under IFRS</w:t>
            </w:r>
          </w:p>
        </w:tc>
        <w:tc>
          <w:tcPr>
            <w:tcW w:w="296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(47,205)</w:t>
            </w:r>
          </w:p>
        </w:tc>
      </w:tr>
      <w:tr>
        <w:trPr>
          <w:trHeight w:val="169"/>
        </w:trPr>
        <w:tc>
          <w:tcPr>
            <w:tcW w:w="7200" w:type="dxa"/>
            <w:vAlign w:val="bottom"/>
            <w:gridSpan w:val="2"/>
          </w:tcPr>
          <w:p>
            <w:pPr>
              <w:ind w:left="20"/>
              <w:spacing w:after="0"/>
              <w:rPr>
                <w:sz w:val="20"/>
                <w:szCs w:val="20"/>
                <w:color w:val="auto"/>
              </w:rPr>
            </w:pPr>
            <w:r>
              <w:rPr>
                <w:rFonts w:ascii="Arial" w:cs="Arial" w:eastAsia="Arial" w:hAnsi="Arial"/>
                <w:sz w:val="13"/>
                <w:szCs w:val="13"/>
                <w:color w:val="auto"/>
              </w:rPr>
              <w:t>Deferred tax adjustments on leases</w:t>
            </w:r>
          </w:p>
        </w:tc>
        <w:tc>
          <w:tcPr>
            <w:tcW w:w="2960" w:type="dxa"/>
            <w:vAlign w:val="bottom"/>
          </w:tcPr>
          <w:p>
            <w:pPr>
              <w:jc w:val="right"/>
              <w:ind w:right="356"/>
              <w:spacing w:after="0"/>
              <w:rPr>
                <w:sz w:val="20"/>
                <w:szCs w:val="20"/>
                <w:color w:val="auto"/>
              </w:rPr>
            </w:pPr>
            <w:r>
              <w:rPr>
                <w:rFonts w:ascii="Arial" w:cs="Arial" w:eastAsia="Arial" w:hAnsi="Arial"/>
                <w:sz w:val="13"/>
                <w:szCs w:val="13"/>
                <w:b w:val="1"/>
                <w:bCs w:val="1"/>
                <w:color w:val="auto"/>
              </w:rPr>
              <w:t>240</w:t>
            </w:r>
          </w:p>
        </w:tc>
        <w:tc>
          <w:tcPr>
            <w:tcW w:w="1120" w:type="dxa"/>
            <w:vAlign w:val="bottom"/>
          </w:tcPr>
          <w:p>
            <w:pPr>
              <w:jc w:val="right"/>
              <w:spacing w:after="0"/>
              <w:rPr>
                <w:sz w:val="20"/>
                <w:szCs w:val="20"/>
                <w:color w:val="auto"/>
              </w:rPr>
            </w:pPr>
            <w:r>
              <w:rPr>
                <w:rFonts w:ascii="Arial" w:cs="Arial" w:eastAsia="Arial" w:hAnsi="Arial"/>
                <w:sz w:val="13"/>
                <w:szCs w:val="13"/>
                <w:color w:val="auto"/>
              </w:rPr>
              <w:t>181</w:t>
            </w:r>
          </w:p>
        </w:tc>
      </w:tr>
      <w:tr>
        <w:trPr>
          <w:trHeight w:val="170"/>
        </w:trPr>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Offset between deferred tax assets and liabilities</w:t>
            </w:r>
          </w:p>
        </w:tc>
        <w:tc>
          <w:tcPr>
            <w:tcW w:w="29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Total liabilities as stated under U.S. GAAP</w:t>
            </w:r>
          </w:p>
        </w:tc>
        <w:tc>
          <w:tcPr>
            <w:tcW w:w="29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1,585,370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1,249,947</w:t>
            </w: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280"/>
          </w:cols>
          <w:pgMar w:left="300" w:top="1269" w:right="31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Appendix A: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Business and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a limited number of customers and a loss of or significant decrease in business from one or more of them could affect our business.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During the year ended 31 December 2020, 39.1% of our revenues were derived from our top five customers, with one customer individually contributing more than 10% of our revenues during the period. This customer represented a strategic partnership with a large global pharmaceutical company and contributed 12.1% of revenue for the year. No other customer contributed more than 10% of our revenues during this period. During the year ended 31 December 2019, 37.6% of our revenues were derived from our top five customers, with two customers contributing more than 10% of our revenues during the period (the largest contributing 12.5% and the second largest contributing 10.2%). No other customer contributed more than 10% of our revenues during this period. During the year ended 31 December 2018, 39.5% of our revenues were derived from our top five customers, with one customer contributing more than 10% of our revenues during the period (13.6%). No other customer contributed more than 10% of our revenues during this period. If we lose clients, we may not be able to attract new ones and if we lose individual projects, we may not be able to replace them. The loss of, or a significant decrease in business from one or more of these key customers could have a material adverse impact on our results of operations and financial results.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financial results may be adversely impacted if we under price our contracts, overrun our cost estimates or fail to receive approval for or experience delays in documenting change orders.</w:t>
      </w:r>
    </w:p>
    <w:p>
      <w:pPr>
        <w:spacing w:after="0" w:line="213"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Many of our contracts are long-term fixed price or fixed unit price contracts for services. As a result, variations in the timing and progress of large contracts may materially adversely affect our results of operations. Revenue recognised on these service contracts are based on an assessment of progress towards completion being the cost of time and other third-party costs as a percentage of total estimated time and other third-party costs to deliver our services. As a result, variations in the timing and progress of large contracts may materially adversely affect our results of operations. Estimating time and costs to complete requires judgment and includes consideration of the complexity of the study, the number of geographical sites where trials are to be conducted and the number of patients to be recruited at each site. We regularly review the estimated hours on each contract to determine if the budget accurately reflects the agreed tasks to be performed taking into account the state of progress at the time of review.</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bear the risk of cost overruns unless the scope of activity is revised from the contract specifications and we are able to negotiate a contract modification. We endeavour to ensure that any changes in scope are appropriately monitored and change orders or contract modifications are promptly negotiated and documented for changes in scope. If we were to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potential loss or delay of our large contracts or of multiple contracts could adversely affect our results.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43" w:lineRule="exact"/>
        <w:rPr>
          <w:sz w:val="20"/>
          <w:szCs w:val="20"/>
          <w:color w:val="auto"/>
        </w:rPr>
      </w:pPr>
    </w:p>
    <w:p>
      <w:pPr>
        <w:ind w:left="260" w:hanging="255"/>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failure of products being tested to satisfy safety or efficacy requirements;</w:t>
      </w:r>
    </w:p>
    <w:p>
      <w:pPr>
        <w:ind w:left="260" w:hanging="255"/>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unexpected or undesired clinical results of the product;</w:t>
      </w:r>
    </w:p>
    <w:p>
      <w:pPr>
        <w:ind w:left="260" w:hanging="255"/>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 decision that a particular study is no longer necessary or viable;</w:t>
      </w:r>
    </w:p>
    <w:p>
      <w:pPr>
        <w:ind w:left="260" w:hanging="255"/>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poor project performance, quality concerns, insufficient patient enrolment or investigator recruitment; and</w:t>
      </w:r>
    </w:p>
    <w:p>
      <w:pPr>
        <w:ind w:left="260" w:hanging="255"/>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production problems resulting in shortages of the drug.</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3"/>
          <w:szCs w:val="13"/>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utilisation rates. In addition, we may not realise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280"/>
          </w:cols>
          <w:pgMar w:left="300" w:top="1289" w:right="31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business is dependent on our ability to generate new business awards from new and existing customers and maintain existing customer contracts. If we were unable to generate new business awards on a timely basis and contract for those awards, that could have a material impact on our business,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successfully develop and market new services or enter new markets, our growth, results of operations or financial condition could be adversely affected.</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A key element of our growth strategy is the successful development and marketing of new services or entering new markets that complement or expand our existing business. As we develop new services or enter new markets, we may not have or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could be adversely impacted.</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attract or retain key personnel, our performance may suffer.</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business, future success and ability to continue to expand operations depends upon our ability to attract, hire, train and retain qualified professional, scientific and technical operating people.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the ability to recruit suitable willing patients.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successful completion of clinical trials is dependent upon the ability to recruit suitable and willing patients on which to test the drug under study.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enrolment may result in the termination or delay of a study which could have a material adverse impact on our results of operations.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Company is focused on continuing to develop its expertise in patient recruitment and on 3 September 2020, announced that it was launching Accellacare, a global clinical research network offering patients easier and faster access to innovative treatments and offering customers the option to deploy decentralised trails. The site network includes PMG Research in the US and MeDiNova in EMEA. The focus is on making it easier for the site and the patient to actively participate in a trial to ensure increased predictability, enrolment and retention. Our site and patient solutions group includes upfront planning of site and patient management including identification, enrolment and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Improved site selection is achieved through:</w:t>
      </w:r>
    </w:p>
    <w:p>
      <w:pPr>
        <w:spacing w:after="0" w:line="189" w:lineRule="exact"/>
        <w:rPr>
          <w:sz w:val="20"/>
          <w:szCs w:val="20"/>
          <w:color w:val="auto"/>
        </w:rPr>
      </w:pPr>
    </w:p>
    <w:p>
      <w:pPr>
        <w:ind w:left="260" w:hanging="255"/>
        <w:spacing w:after="0"/>
        <w:tabs>
          <w:tab w:leader="none" w:pos="2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leading technology to identify where the patients are that match the protocol;</w:t>
      </w:r>
    </w:p>
    <w:p>
      <w:pPr>
        <w:ind w:left="260" w:hanging="255"/>
        <w:spacing w:after="0"/>
        <w:tabs>
          <w:tab w:leader="none" w:pos="2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assessment of the qualification of sites based on real data;</w:t>
      </w:r>
    </w:p>
    <w:p>
      <w:pPr>
        <w:ind w:left="260" w:hanging="255"/>
        <w:spacing w:after="0" w:line="244" w:lineRule="auto"/>
        <w:tabs>
          <w:tab w:leader="none" w:pos="251" w:val="left"/>
        </w:tabs>
        <w:numPr>
          <w:ilvl w:val="0"/>
          <w:numId w:val="149"/>
        </w:numPr>
        <w:rPr>
          <w:rFonts w:ascii="Arial" w:cs="Arial" w:eastAsia="Arial" w:hAnsi="Arial"/>
          <w:sz w:val="13"/>
          <w:szCs w:val="13"/>
          <w:color w:val="auto"/>
        </w:rPr>
      </w:pPr>
      <w:r>
        <w:rPr>
          <w:rFonts w:ascii="Arial" w:cs="Arial" w:eastAsia="Arial" w:hAnsi="Arial"/>
          <w:sz w:val="13"/>
          <w:szCs w:val="13"/>
          <w:color w:val="auto"/>
        </w:rPr>
        <w:t>partnerships with leading technology vendors such as Intel, EHR4CR and TriNeTX and developing the capability to enable EMR interrogation into clinical insights such as sub-populations and larger pre-screened pool where the technology and regulations are enabled.</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burden on the site, in ensuring patient enrolment and engagement, is achieved through integrated site networks. ICON have a number of site alliance partners. During 2018, we enhanced our site and patient recruitment capabilities with an expansion of the PMG Research network through a partnership with the DuPage Medical Group. During 2019, we further enhanced our site and patient recruitment abilities through the strategic acquisitions of MeDiNova and Symphony. We also use digital solutions to drive site performance, including pre-screening, eConsent, learning management, document tracking and management with key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80"/>
          </w:cols>
          <w:pgMar w:left="300" w:top="1288" w:right="31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our ability to recruit suitable willing investigators.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third parties for important products and services.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Climate change, extreme weather events, earthquakes and other natural disasters could adversely affect our business.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or floods, or other events that may result from the impact of climate change on the environment, such as sea level rise.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disease outbreak, epidemic or pandemic such as COVID-19, could adversely affect our business performance.</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 disease outbreak, such as influenza, coronavirus, or other biological attack could negatively impact our operations. We could experience restrictions on our ability to travel, or the ability of patients or other service providers to travel, to monitor our clinical trials and to ensure laboratory samples are collected and analysed on time as a result of an outbreak. The potential impact of an epidemic or pandemic may also result in increased operating costs and result in a requirement to increase investment in impact prevention.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COVID-19 has, and may continue to, adversely affect our business performance, and could adversely affect the economies and financial markets worldwide, resulting in an economic downturn that could impact our business, financial condition and results of operations. We have experienced a negative impact on our operations as a result of the global spread of COVID-19, including restrictions on our ability to ensure laboratory samples are collected and analysed on time, our ability to monitor our clinical trials, the ability of patients or other service providers to travel, and our ability to travel. We have also experienced costs associated with impact prevention.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COVID-19 outbreak continues to evolve. While our site network and office facilities have begun to re-open on a phased basis, the extent to which the outbreak may continue to impact our business will depend on future developments, which are highly uncertain and cannot be predicted with confidence, such as the ultimate geographic spread of COVID-19, additional phases of the outbreak, travel restrictions and actions to contain the outbreak or treat its impact, such as social distancing and quarantines or lock-downs, business closures or business disruptions and the effectiveness of actions taken throughout the world to contain and treat the disease. We may also be required or choose to take temporary measures to again take temporary precautionary measures intended to help minimise the risk of infection from the virus for our employees, including temporarily requiring all employees to work remotely, suspending all non-essential travel worldwide and discouraging attendance at industry events, industry and other conferences, and in-person work-related meetings, which could negatively affect our business and cannot presently be predicted with confidence.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80"/>
          </w:cols>
          <w:pgMar w:left="300" w:top="1288" w:right="31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jc w:val="both"/>
        <w:ind w:firstLine="35"/>
        <w:spacing w:after="0" w:line="266" w:lineRule="auto"/>
        <w:rPr>
          <w:sz w:val="20"/>
          <w:szCs w:val="20"/>
          <w:color w:val="auto"/>
        </w:rPr>
      </w:pPr>
      <w:r>
        <w:rPr>
          <w:rFonts w:ascii="Arial" w:cs="Arial" w:eastAsia="Arial" w:hAnsi="Arial"/>
          <w:sz w:val="13"/>
          <w:szCs w:val="13"/>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3"/>
          <w:szCs w:val="13"/>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86" w:lineRule="exact"/>
        <w:rPr>
          <w:sz w:val="20"/>
          <w:szCs w:val="20"/>
          <w:color w:val="auto"/>
        </w:rPr>
      </w:pPr>
    </w:p>
    <w:p>
      <w:pPr>
        <w:ind w:left="760" w:hanging="246"/>
        <w:spacing w:after="0"/>
        <w:tabs>
          <w:tab w:leader="none" w:pos="7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disruption or failure of data centres, telecommunications facilities or other key infrastructure platforms;</w:t>
      </w:r>
    </w:p>
    <w:p>
      <w:pPr>
        <w:ind w:left="760" w:hanging="246"/>
        <w:spacing w:after="0" w:line="238" w:lineRule="auto"/>
        <w:tabs>
          <w:tab w:leader="none" w:pos="751" w:val="left"/>
        </w:tabs>
        <w:numPr>
          <w:ilvl w:val="0"/>
          <w:numId w:val="150"/>
        </w:numPr>
        <w:rPr>
          <w:rFonts w:ascii="Arial" w:cs="Arial" w:eastAsia="Arial" w:hAnsi="Arial"/>
          <w:sz w:val="13"/>
          <w:szCs w:val="13"/>
          <w:color w:val="auto"/>
        </w:rPr>
      </w:pPr>
      <w:r>
        <w:rPr>
          <w:rFonts w:ascii="Arial" w:cs="Arial" w:eastAsia="Arial" w:hAnsi="Arial"/>
          <w:sz w:val="13"/>
          <w:szCs w:val="13"/>
          <w:color w:val="auto"/>
        </w:rPr>
        <w:t>security breaches, cyber-attacks or other failures or malfunctions in our application or information systems or their associated hardware or other systems that we have access to or that we rely upon or that have access to our systems;</w:t>
      </w:r>
    </w:p>
    <w:p>
      <w:pPr>
        <w:ind w:left="760" w:hanging="246"/>
        <w:spacing w:after="0"/>
        <w:tabs>
          <w:tab w:leader="none" w:pos="7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security breaches, cyber-attacks or malfunctions with key suppliers or partners who we rely on to provide services to customers; and</w:t>
      </w:r>
    </w:p>
    <w:p>
      <w:pPr>
        <w:ind w:left="760" w:hanging="246"/>
        <w:spacing w:after="0"/>
        <w:tabs>
          <w:tab w:leader="none" w:pos="7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excessive costs, excessive delays or other deficiencies in or problems with systems development and deployment.</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as well as reputational harm.</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14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Unauthorised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unauthorised access to or through our information systems or those we develop for our clients, whether by our employees or third parties, including a cyber-attack by computer programmers and hackers who may attack ICON systems, develop and deploy viruses, worms, ransomware or other malicious software programmes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information systems and those of third parties which we utilise may face increased cybersecurity risks due to the COVID-19 pandemic, including from the significant number of employees that are working remotely or otherwise impacted by stay-at-home orders. Additional remote access points provide new potential vulnerabilities to cybercriminals. Employees of ICON and third parties may be more susceptible to social engineering efforts, and to phishing attempts which can disguise malware as a legitimate effort to circulate important information relating to COVID-19.</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Upgrading the information systems that support our operating processes and evolving the technology platform for our services pose risks to our business.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Continued efficient operation of our business requires that we implement standardised global business processes and evolve our information systems to enable this implementation. We have continued to undertake significant programmes to optimise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80"/>
          </w:cols>
          <w:pgMar w:left="300" w:top="1287" w:right="31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6"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have entered into agreements with certain vendors to provide systems development and integration services that develop or license to us the IT platform for programmes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77"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 If we do not keep pace with rapid technological changes in the CRO industry, our products and services may become less competitive or even obsolete. This applies in particular to our ICONIK, Firecrest, ADDPLAN and One Search services. Also, increased requirements for investment in information technology may negatively impact our financial condition, including profitability.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meet productivity objectives under our business improvement objectives could adversely impact our competitiveness and therefore our operating results.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continue to pursue business transformation initiatives to embed technology and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effect on our financial condition and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failure to identify and successfully close and integrate strategic acquisition targets could adversely impact our ongoing business and financial results.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have made a number of acquisitions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41" w:lineRule="exact"/>
        <w:rPr>
          <w:sz w:val="20"/>
          <w:szCs w:val="20"/>
          <w:color w:val="auto"/>
        </w:rPr>
      </w:pPr>
    </w:p>
    <w:p>
      <w:pPr>
        <w:ind w:left="1020" w:hanging="506"/>
        <w:spacing w:after="0"/>
        <w:tabs>
          <w:tab w:leader="none" w:pos="10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effectively and quickly assimilate the operations and services or products of the acquired company or business;</w:t>
      </w:r>
    </w:p>
    <w:p>
      <w:pPr>
        <w:ind w:left="1020" w:hanging="506"/>
        <w:spacing w:after="0"/>
        <w:tabs>
          <w:tab w:leader="none" w:pos="10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integrate acquired personnel;</w:t>
      </w:r>
    </w:p>
    <w:p>
      <w:pPr>
        <w:ind w:left="1020" w:hanging="506"/>
        <w:spacing w:after="0"/>
        <w:tabs>
          <w:tab w:leader="none" w:pos="10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retain and motivate key employees;</w:t>
      </w:r>
    </w:p>
    <w:p>
      <w:pPr>
        <w:ind w:left="1020" w:hanging="506"/>
        <w:spacing w:after="0"/>
        <w:tabs>
          <w:tab w:leader="none" w:pos="10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retain customers; and</w:t>
      </w:r>
    </w:p>
    <w:p>
      <w:pPr>
        <w:ind w:left="1020" w:hanging="506"/>
        <w:spacing w:after="0"/>
        <w:tabs>
          <w:tab w:leader="none" w:pos="10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minimise the diversion of management's attention from other business concerns.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Improper performance of our services.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endeavour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280"/>
          </w:cols>
          <w:pgMar w:left="300" w:top="1288" w:right="31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only a limited ability to protect our intellectual property rights and these rights are important to our success.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biopharmaceutical industry has a history of patent and other intellectual property litigation and we might be involved in costly intellectual property lawsuits.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unfavourable terms. Any infringement or other legal processing related to intellectual property could have a material adverse effect on our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act as authorised representative and legal representative for some clients pursuant to certain EU legislation.</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act as authorised representative pursuant to Medical Devices Directive 93/42/EEC (“MDD”) and Active Implantable Medical Devices Directive 90/385/EEC (“AIMD”) for certain clients who are located outside of the European Union. Medical Devices Regulation 2017/745 (“MDR”) replaced MDD on 26 May 2020 and provides for increased responsibility, and accordingly increased risk, for authorised representatives. As authorised representative, we act on behalf of medical device manufacturers in relation to specified tasks with regard to their obligations under MDR.</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also act as legal representative pursuant to MDD and AIMD, and will continue to do so pursuant to MDR, for certain clients who are located outside of the European Union with respect to clinical trials being carried out by those clients in the European Union. As legal representative, we are responsible for ensuring compliance with the client’s obligations pursuant to MDR and we are the addressee for all communications with the client provided for under MDR.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80"/>
          </w:cols>
          <w:pgMar w:left="300" w:top="1288" w:right="31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0" w:lineRule="exact"/>
        <w:rPr>
          <w:sz w:val="20"/>
          <w:szCs w:val="20"/>
          <w:color w:val="auto"/>
        </w:rPr>
      </w:pPr>
    </w:p>
    <w:p>
      <w:pPr>
        <w:spacing w:after="0" w:line="31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 its obligations in relation to their indemnity.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Industry</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Outsourcing trends in the pharmaceutical, biotechnology and medical device industries and changes in spending and research and development budgets could adversely affect our operating results and growth rates.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86" w:lineRule="exact"/>
        <w:rPr>
          <w:sz w:val="20"/>
          <w:szCs w:val="20"/>
          <w:color w:val="auto"/>
        </w:rPr>
      </w:pPr>
    </w:p>
    <w:p>
      <w:pPr>
        <w:ind w:left="700" w:hanging="313"/>
        <w:spacing w:after="0"/>
        <w:tabs>
          <w:tab w:leader="none" w:pos="70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if pharmaceutical, biotechnology or medical device companies expanded upon their in-house clinical or development capabilities, they would be less likely to utilise our services;</w:t>
      </w:r>
    </w:p>
    <w:p>
      <w:pPr>
        <w:ind w:left="700" w:hanging="313"/>
        <w:spacing w:after="0" w:line="238" w:lineRule="auto"/>
        <w:tabs>
          <w:tab w:leader="none" w:pos="691" w:val="left"/>
        </w:tabs>
        <w:numPr>
          <w:ilvl w:val="0"/>
          <w:numId w:val="152"/>
        </w:numPr>
        <w:rPr>
          <w:rFonts w:ascii="Arial" w:cs="Arial" w:eastAsia="Arial" w:hAnsi="Arial"/>
          <w:sz w:val="13"/>
          <w:szCs w:val="13"/>
          <w:color w:val="auto"/>
        </w:rPr>
      </w:pPr>
      <w:r>
        <w:rPr>
          <w:rFonts w:ascii="Arial" w:cs="Arial" w:eastAsia="Arial" w:hAnsi="Arial"/>
          <w:sz w:val="13"/>
          <w:szCs w:val="13"/>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700" w:hanging="313"/>
        <w:spacing w:after="0"/>
        <w:tabs>
          <w:tab w:leader="none" w:pos="70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if unfavourable economic conditions or disruptions in the credit and capital markets negatively impacted our clients.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Large pharmaceutical companies are increasingly consolidating their vendor base and entering strategic partnership arrangements with a limited number of outsource providers.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Increased collaboration amongst pharmaceutical companies in research and development activities may lead to fewer research opportunities.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and dynamic market.</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type and depth of services provided by CROs has changed in recent years. Failure to develop and market new services or expand existing service offerings could adversely affect our business and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New entrants may also enter the market which would further increase competition and could adversely affect our business and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80"/>
          </w:cols>
          <w:pgMar w:left="300" w:top="1288" w:right="31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adversely affected by industry, customer or therapeutic concentration.</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provide services to biopharmaceutical, biotechnology, medical device and government organisations and our revenue is dependent on expenditures by these customers. Our business could therefore be adversely impacted by mergers, consolidation, business failures, distress in financial markets or other factors resulting in a decrease in the number of potential customers or therapeutic products being developed through the drug development progress. There has been consolidation in the biopharmaceutical market in recent years. If the number of our potential customers were to decline in the future, they may be able to negotiate price discounts or other terms for services that are less favourable to us than they have been historically.</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Financial Results and Financial Position</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and other factors. Our revenue in any period is directly related to the number of employees who were working on billable projects together with investigator activity during that period. We may be unable to compensate for periods of under-utilisation during one part of a fiscal period by earning revenue during another part of that period. We believe that operating results for any particular quarter are not necessarily a meaningful indicator of future results.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exposure to exchange rate fluctuations could adversely affect our results of operations.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effective tax rate may fluctuate from quarter-to-quarter, which may adversely affect our results of operations.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unsatisfied performance obligations may not convert to revenue and the rate of conversion may slow.</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unsatisfied performance obligation is that element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realise this unsatisfied performance obligation in full as revenue. A failure to realise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80"/>
          </w:cols>
          <w:pgMar w:left="300" w:top="1288" w:right="31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is exposed to various risks in relation to our cash and cash equivalents and short-term investments.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short-term investments depending on the maturity of the related investment. Cash and cash equivalents comprise cash and highly liquid investments with maturities of three months or less. Short-term investments comprise highly liquid investments with maturities of greater than three months and minimum “A-” rated fixed and floating rate securities.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Although we have not recognised any significant losses to date on our cash and cash equivalents or short-term investments, any significant declines in their market values could have a material adverse effect on our financial position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accounting standards may adversely affect our financial statements.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We are required to prepare our financial statements in accordance with International Financial Reporting Standards (“IFRS”), as adopted by the European Union (“EU IFRS”) which are revised on an on-going basis by the authoritative bodies. It is possible that future accounting standard changes, may require additional changes to the accounting treatment that we apply in preparation of our financial statements. These changes may also require significant changes to our reporting systems. We applied IFRS 15 -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with effect from 1 January 2018. Under this new standard, the Company is required to recognise revenue in respect of our clinical trial services on a percentage of completion basis. The change in revenue recognition requires significant estimates of project costs that will need to be updated and adjusted on a regular basis. These updates may result in unexpected variability in the timing of recognition of revenue and therefore in our operating results. Application of IFRS 16 - '</w:t>
      </w:r>
      <w:r>
        <w:rPr>
          <w:rFonts w:ascii="Arial" w:cs="Arial" w:eastAsia="Arial" w:hAnsi="Arial"/>
          <w:sz w:val="13"/>
          <w:szCs w:val="13"/>
          <w:i w:val="1"/>
          <w:iCs w:val="1"/>
          <w:color w:val="auto"/>
        </w:rPr>
        <w:t>Leases</w:t>
      </w:r>
      <w:r>
        <w:rPr>
          <w:rFonts w:ascii="Arial" w:cs="Arial" w:eastAsia="Arial" w:hAnsi="Arial"/>
          <w:sz w:val="13"/>
          <w:szCs w:val="13"/>
          <w:color w:val="auto"/>
        </w:rPr>
        <w:t>' at 1 January 2019 results in the recognition of a lease liability and right-of-use asset on the Consolidated Statement of Financial Position.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Political, Legal or Regulatory Environment</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opportunities as a result of health care reform and the expansion of managed care organisations.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Numerous governments, including the U.S. government,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addition to health care reform proposals, the expansion of managed care organisations in the health 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 in particular the outsourcing of costs by our customer base to CROs.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as a result of changes in the regulatory environment</w:t>
      </w:r>
      <w:r>
        <w:rPr>
          <w:rFonts w:ascii="Arial" w:cs="Arial" w:eastAsia="Arial" w:hAnsi="Arial"/>
          <w:sz w:val="13"/>
          <w:szCs w:val="13"/>
          <w:color w:val="auto"/>
        </w:rPr>
        <w:t>.</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80"/>
          </w:cols>
          <w:pgMar w:left="300" w:top="1287" w:right="31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3"/>
          <w:szCs w:val="13"/>
          <w:b w:val="1"/>
          <w:bCs w:val="1"/>
          <w:color w:val="auto"/>
        </w:rPr>
        <w: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80" w:lineRule="exact"/>
        <w:rPr>
          <w:sz w:val="20"/>
          <w:szCs w:val="20"/>
          <w:color w:val="auto"/>
        </w:rPr>
      </w:pPr>
    </w:p>
    <w:p>
      <w:pPr>
        <w:ind w:left="1020" w:hanging="506"/>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termination of or delay in any research;</w:t>
      </w:r>
    </w:p>
    <w:p>
      <w:pPr>
        <w:ind w:left="1020" w:hanging="506"/>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disqualification of data;</w:t>
      </w:r>
    </w:p>
    <w:p>
      <w:pPr>
        <w:ind w:left="1020" w:hanging="506"/>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denial of the right to conduct business;</w:t>
      </w:r>
    </w:p>
    <w:p>
      <w:pPr>
        <w:ind w:left="1020" w:hanging="506"/>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criminal penalties;</w:t>
      </w:r>
    </w:p>
    <w:p>
      <w:pPr>
        <w:ind w:left="1020" w:hanging="506"/>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other enforcement actions including debarment from government contracts;</w:t>
      </w:r>
    </w:p>
    <w:p>
      <w:pPr>
        <w:ind w:left="1020" w:hanging="506"/>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loss of clients and/or business; and</w:t>
      </w:r>
    </w:p>
    <w:p>
      <w:pPr>
        <w:ind w:left="1020" w:hanging="506"/>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litigation from clients and/or patients and/or regulatory authorities and/or other affected third parties, and resulting material penalties, damages and costs.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political, regulatory, operational and legal risks associated with our international operations.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23 June 2016, the United Kingdom, or U.K., held a referendum, referred to as “Brexit”, in which voters approved an exit from the European Union (EU). The UK have left the EU with effect from 31 January 2020 and entered an eleven month transition period which ended on 31 December 2020. The terms of the withdrawal agreement entered into force on 1 February 2020 are not expected to significantly affect our operations or financial results. On 24 December 2020, the European Commission and the United Kingdom reached agreement on the EU-UK Trade and Cooperation Agreement. Approximately 3% of our revenue is billed in Sterling. We currently employ approximately 900 people in the U.K. The continued uncertainty around Brexit caused volatility in global stock markets and exchange rates. Continued fluctuation in currency exchange rates may expose us to gains and losses on non U.S. currency transactions.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If any of the above risks or similar risks associated with our international operations were to materialise, our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80"/>
          </w:cols>
          <w:pgMar w:left="300" w:top="1288" w:right="31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We operate in many different jurisdictions and we could be adversely affected by violations of anti-corruption laws, including the United States Foreign Corrupt Practices Act of 1977 ("FCPA"), UK Bribery Act of 2010 ("Bribery Act") and similar anti-corruption laws in other jurisdictions as well as laws and regulations relating to trade compliance and economic sanctions.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FCPA, UK Bribery Act of 2010 and similar anti-corruption laws in other jurisdictions prohibit us and our offices, directors, employees and third parties acting on our behalf, including agents, from corruptly offering, promising, authorising, or providing anything of value to a "foreign official" for the purposes of influencing official decisions or obtaining or retaining business or otherwise obtaining favourable treatment. In addition, the FCPA imposes certain books, records and accounting control obligations on public companies and other issuers. The UK Bribery Act also prohibits "commercial" bribery and accepting bribes.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Her Majesty’s Treasury and other relevant sanctions authorities.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internal policies mandate compliance with these anti-corruption and economic sanctions laws. We also operate in many jurisdictions in which bribery or corruption can be common and compliance with anti-bribery laws may conflict with local customs and practices. Despite our training and compliance programme safeguards, we cannot assure that our internal control policies, procedures and safeguards will protect us from acts in violation of anti-corruption and economic sanctions laws committed by employees or other third parties associated with us and our continued expansion, including in developing countries, could increase such risk in the future. Violations of anti-corruption and economic sanctions laws, or even allegations of such violations, could disrupt our business and result in a material adverse effect on our financial condition, results of operations, cash flows and reputation. For example, violations of anti-corruption and economic sanctions laws can result in restatements of, or irregularities in, our financial statements, disgorgement of profits, related stockholder lawsuits as well as severe criminal or civil sanctions. In some cases, companies that violate anti-corruption and economic sanctions laws might be debarred by the U.S. government and/or lose their U.S. export privileges. In addition, the U.S. government or other governments may seek to hold us liable for successor liability of anti-corruption and economic sanctions laws committed by companies that we acquire or in which we invest. Changes in anti-corruption and economic sanctions laws or enforcement priorities could also result in increased compliance requirements and related costs which could materially adversely affect our business, financial condition, results of operations and cash flows.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authorisation,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authorisations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European data protection framework was significantly revised in 2018 with the coming into force of the General Data Protection Regulation ('GDPR') containing new provisions specifically directed at the processing of health information, sanctions of up to 4% of worldwide gross revenue and extra-territoriality measures intended to bring non-EU companies under the proposed regulation. Post GDPR implementation we are receiving increased volumes and breadth of data protection/privacy queries from both sponsors and strategic alliance partners and anticipate that this will continue.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80"/>
          </w:cols>
          <w:pgMar w:left="300" w:top="1288" w:right="31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For the regulators in the European Union, or EU, personal data includes any information that relates to an identified or identifiable natural person with health information carrying special obligations, including obtaining the explicit consent from the individual for collection, use or disclosure of the information. EU regulations also apply to the personal data of EU data subjects travelling or living outside the EU.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unauthorised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programmes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Liability claims brought against us could result in payment of substantial damages, costs and liabilities and decrease our profitability.</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We may face legal claims involving stockholders, consumers, clinical trial subjects, competitors, regulators and other parties. As described in </w:t>
      </w:r>
      <w:r>
        <w:rPr>
          <w:rFonts w:ascii="Arial" w:cs="Arial" w:eastAsia="Arial" w:hAnsi="Arial"/>
          <w:sz w:val="13"/>
          <w:szCs w:val="13"/>
          <w:i w:val="1"/>
          <w:iCs w:val="1"/>
          <w:color w:val="auto"/>
        </w:rPr>
        <w:t>note 29 - Litigation</w:t>
      </w:r>
      <w:r>
        <w:rPr>
          <w:rFonts w:ascii="Arial" w:cs="Arial" w:eastAsia="Arial" w:hAnsi="Arial"/>
          <w:sz w:val="13"/>
          <w:szCs w:val="13"/>
          <w:color w:val="auto"/>
        </w:rPr>
        <w:t>, we are engaged in legal proceedings. Litigation and other legal proceedings are inherently uncertain, and adverse rulings could occur, including monetary damages, or an injunction stopping us from engaging in business practices, or requiring other remedies, including, but not limited to, compulsory licensing of patents.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80"/>
          </w:cols>
          <w:pgMar w:left="300" w:top="1288" w:right="31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Customer Claims</w:t>
      </w:r>
    </w:p>
    <w:p>
      <w:pPr>
        <w:spacing w:after="0" w:line="11" w:lineRule="exact"/>
        <w:rPr>
          <w:sz w:val="20"/>
          <w:szCs w:val="20"/>
          <w:color w:val="auto"/>
        </w:rPr>
      </w:pPr>
    </w:p>
    <w:p>
      <w:pPr>
        <w:jc w:val="both"/>
        <w:spacing w:after="0"/>
        <w:rPr>
          <w:sz w:val="20"/>
          <w:szCs w:val="20"/>
          <w:color w:val="auto"/>
        </w:rPr>
      </w:pPr>
      <w:r>
        <w:rPr>
          <w:rFonts w:ascii="Arial" w:cs="Arial" w:eastAsia="Arial" w:hAnsi="Arial"/>
          <w:sz w:val="13"/>
          <w:szCs w:val="13"/>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deliver our services in hospitals and other sites,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Claims relating to Investigators</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Indemnification from Customers</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 their indemnification obligations. Furthermore, we would be liable for our own negligence and negligence of our employees which could lead to litigation from customers or action or enforcement by regulatory authorities.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Insurance</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Claims to Date</w:t>
      </w:r>
    </w:p>
    <w:p>
      <w:pPr>
        <w:spacing w:after="0" w:line="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Indebtedness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incurred debt, which could impair our flexibility and access to capital and adversely affect our financial position.</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As of 31 December 2020, and 31 December 2019, we had an outstanding principal amounts of indebtedness of $350.0 million under a $350.0 million Note Purchase and Guarantee Agreement.</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also have up to $150.0 million of additional borrowing capacity available under the Revolving Credit Facility which was entered into with Citibank, JP Morgan, Santander, HSBC Bank and Morgan Stanley International on 12 March 2018. No amounts were drawn under the Revolving Credit Facility as of 31 December 2020 or 31 December 2019. This facility bears interest at LIBOR plus a margin. We continue to monitor the phasing out of LIBOR which is currently scheduled to begin in 2021 before complete phase out by June 2023. In the absence of an agreed new rate, LIBOR will continue to apply where appropriate.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80"/>
          </w:cols>
          <w:pgMar w:left="300" w:top="1288" w:right="31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cost and availability of credit are subject to changes in the global or regional economic environment. If conditions in the major credit markets deteriorate our ability to obtain debt financing on favourable terms may be negatively affected. We may incur additional debt in the future. Our debt could have significant adverse consequences, including to:</w:t>
      </w:r>
    </w:p>
    <w:p>
      <w:pPr>
        <w:spacing w:after="0" w:line="183" w:lineRule="exact"/>
        <w:rPr>
          <w:sz w:val="20"/>
          <w:szCs w:val="20"/>
          <w:color w:val="auto"/>
        </w:rPr>
      </w:pP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limit our ability to borrow additional funds for working capital, capital expenditures, acquisitions or other general business purposes;</w:t>
      </w: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limit our ability to use our cash flow or obtain additional financing for future working capital, capital expenditures, acquisitions or other general business purposes;</w:t>
      </w: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require us to use all or a portion of our cash flow from operations to make debt service payments;</w:t>
      </w: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require us to sell certain assets;</w:t>
      </w: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restrict us from making strategic investments, including acquisitions or cause us to make non-strategic divestitures;</w:t>
      </w: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place us at a competitive disadvantage compared to our competitors that have less debt;</w:t>
      </w: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cause us to incur substantial fees from time to time in connection with debt amendments or refinancing;</w:t>
      </w: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limit our flexibility to plan for, or react to, changes in our business and industry; and</w:t>
      </w: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increase our vulnerability to the impact of adverse economic and industry conditions.</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are required, under the terms of the 2020 Senior Notes, to offer to purchase all of the outstanding 2020 Senior Notes if we experience a change of control. Similar requirements exist in the Revolving Credit Facility. These provisions may delay or prevent a change in control that our stockholders may consider desirable.</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2020 Senior Notes and the Revolving Credit Facility credit agreements include certain customary covenants that limit our ability to, amongst other things, subject to certain exceptions:</w:t>
      </w:r>
    </w:p>
    <w:p>
      <w:pPr>
        <w:spacing w:after="0" w:line="189" w:lineRule="exact"/>
        <w:rPr>
          <w:sz w:val="20"/>
          <w:szCs w:val="20"/>
          <w:color w:val="auto"/>
        </w:rPr>
      </w:pPr>
    </w:p>
    <w:p>
      <w:pPr>
        <w:ind w:left="1020" w:hanging="251"/>
        <w:spacing w:after="0"/>
        <w:tabs>
          <w:tab w:leader="none" w:pos="102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incur or assume liens or additional debt;</w:t>
      </w:r>
    </w:p>
    <w:p>
      <w:pPr>
        <w:ind w:left="1020" w:hanging="251"/>
        <w:spacing w:after="0"/>
        <w:tabs>
          <w:tab w:leader="none" w:pos="102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dispose of assets;</w:t>
      </w:r>
    </w:p>
    <w:p>
      <w:pPr>
        <w:ind w:left="1020" w:hanging="251"/>
        <w:spacing w:after="0"/>
        <w:tabs>
          <w:tab w:leader="none" w:pos="102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engage in mergers or reorganisations; or</w:t>
      </w:r>
    </w:p>
    <w:p>
      <w:pPr>
        <w:ind w:left="1020" w:hanging="251"/>
        <w:spacing w:after="0"/>
        <w:tabs>
          <w:tab w:leader="none" w:pos="102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enter into certain types of transactions with affiliates.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2020 Senior Notes agreement also includes certain financial covenants that require us to comply with a consolidated leverage ratio and a maximum amount of priority debt, each of which are defined in the Note Purchase and Guarantee Agreement. Our ability to comply with these financial covenants may be affected by events beyond our control.</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Interest rate fluctuations may materially adversely affect our results of operations and financial conditions in the event that the Company draws down on either Revolving Credit Facility or in respect of any future issuances of debt.</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interest rate in respect of the 2020 Senior Notes is fixed at 2.32% for Series A and 2.43% for Series B for the term of the agreement. The Revolving Credit Facility bears interest at LIBOR plus a margin. There were no amounts drawn on the Revolving Credit Facility at 31 December 2020 or at 31 December 2019. We continue to monitor the phasing out of LIBOR which is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 The Company is therefore subject to interest rate volatility in respect of any future draw down on the Revolving Credit Facility or in respect of any future issuances of debt.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280"/>
          </w:cols>
          <w:pgMar w:left="300" w:top="1288" w:right="31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Volatility in the market price of our common stock could lead to losses by investors.</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83" w:lineRule="exact"/>
        <w:rPr>
          <w:sz w:val="20"/>
          <w:szCs w:val="20"/>
          <w:color w:val="auto"/>
        </w:rPr>
      </w:pPr>
    </w:p>
    <w:p>
      <w:pPr>
        <w:ind w:left="1020" w:hanging="251"/>
        <w:spacing w:after="0"/>
        <w:tabs>
          <w:tab w:leader="none" w:pos="10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general market and economic conditions;</w:t>
      </w:r>
    </w:p>
    <w:p>
      <w:pPr>
        <w:ind w:left="1020" w:hanging="251"/>
        <w:spacing w:after="0"/>
        <w:tabs>
          <w:tab w:leader="none" w:pos="10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our results of operations;</w:t>
      </w:r>
    </w:p>
    <w:p>
      <w:pPr>
        <w:ind w:left="1020" w:hanging="251"/>
        <w:spacing w:after="0"/>
        <w:tabs>
          <w:tab w:leader="none" w:pos="10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w:t>
      </w:r>
    </w:p>
    <w:p>
      <w:pPr>
        <w:ind w:left="1020" w:hanging="251"/>
        <w:spacing w:after="0"/>
        <w:tabs>
          <w:tab w:leader="none" w:pos="10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developments impacting the industry or our competitors;</w:t>
      </w:r>
    </w:p>
    <w:p>
      <w:pPr>
        <w:ind w:left="1020" w:hanging="251"/>
        <w:spacing w:after="0"/>
        <w:tabs>
          <w:tab w:leader="none" w:pos="10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declines in the market prices of stocks generally;</w:t>
      </w:r>
    </w:p>
    <w:p>
      <w:pPr>
        <w:ind w:left="1020" w:hanging="251"/>
        <w:spacing w:after="0"/>
        <w:tabs>
          <w:tab w:leader="none" w:pos="10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strategic actions by us or our competitors;</w:t>
      </w:r>
    </w:p>
    <w:p>
      <w:pPr>
        <w:ind w:left="1020" w:hanging="251"/>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contracts, new products, acquisitions, joint marketing relationships, joint ventures, other strategic relationships or capital</w:t>
      </w:r>
    </w:p>
    <w:p>
      <w:pPr>
        <w:ind w:left="1020"/>
        <w:spacing w:after="0" w:line="221" w:lineRule="auto"/>
        <w:rPr>
          <w:sz w:val="20"/>
          <w:szCs w:val="20"/>
          <w:color w:val="auto"/>
        </w:rPr>
      </w:pPr>
      <w:r>
        <w:rPr>
          <w:rFonts w:ascii="Arial" w:cs="Arial" w:eastAsia="Arial" w:hAnsi="Arial"/>
          <w:sz w:val="13"/>
          <w:szCs w:val="13"/>
          <w:color w:val="auto"/>
        </w:rPr>
        <w:t>commitments;</w:t>
      </w:r>
    </w:p>
    <w:p>
      <w:pPr>
        <w:ind w:left="1020" w:hanging="251"/>
        <w:spacing w:after="0"/>
        <w:tabs>
          <w:tab w:leader="none" w:pos="102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public's reaction to press releases and other public announcements by us or third parties, including our filings with the SEC;</w:t>
      </w:r>
    </w:p>
    <w:p>
      <w:pPr>
        <w:ind w:left="760"/>
        <w:spacing w:after="0"/>
        <w:tabs>
          <w:tab w:leader="none" w:pos="1000" w:val="left"/>
          <w:tab w:leader="none" w:pos="6680" w:val="left"/>
        </w:tabs>
        <w:rPr>
          <w:sz w:val="20"/>
          <w:szCs w:val="20"/>
          <w:color w:val="auto"/>
        </w:rPr>
      </w:pPr>
      <w:r>
        <w:rPr>
          <w:rFonts w:ascii="Arial" w:cs="Arial" w:eastAsia="Arial" w:hAnsi="Arial"/>
          <w:sz w:val="13"/>
          <w:szCs w:val="13"/>
          <w:color w:val="auto"/>
        </w:rPr>
        <w:t>•</w:t>
        <w:tab/>
        <w:t>guidance, if any, that we provide to the public, any changes in this guidance or failure to meet this</w:t>
      </w:r>
      <w:r>
        <w:rPr>
          <w:sz w:val="20"/>
          <w:szCs w:val="20"/>
          <w:color w:val="auto"/>
        </w:rPr>
        <w:tab/>
      </w:r>
      <w:r>
        <w:rPr>
          <w:rFonts w:ascii="Arial" w:cs="Arial" w:eastAsia="Arial" w:hAnsi="Arial"/>
          <w:sz w:val="12"/>
          <w:szCs w:val="12"/>
          <w:color w:val="auto"/>
        </w:rPr>
        <w:t>guidance;</w:t>
      </w:r>
    </w:p>
    <w:p>
      <w:pPr>
        <w:ind w:left="1020" w:hanging="251"/>
        <w:spacing w:after="0"/>
        <w:tabs>
          <w:tab w:leader="none" w:pos="10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changes in the credit rating of our debt;</w:t>
      </w:r>
    </w:p>
    <w:p>
      <w:pPr>
        <w:ind w:left="1020" w:hanging="251"/>
        <w:spacing w:after="0"/>
        <w:tabs>
          <w:tab w:leader="none" w:pos="10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sale, or anticipated sale, of large blocks of our stock;</w:t>
      </w:r>
    </w:p>
    <w:p>
      <w:pPr>
        <w:ind w:left="1020" w:hanging="251"/>
        <w:spacing w:after="0"/>
        <w:tabs>
          <w:tab w:leader="none" w:pos="10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additions or departures of key personnel;</w:t>
      </w:r>
    </w:p>
    <w:p>
      <w:pPr>
        <w:ind w:left="1020" w:hanging="251"/>
        <w:spacing w:after="0"/>
        <w:tabs>
          <w:tab w:leader="none" w:pos="10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regulatory or political developments;</w:t>
      </w:r>
    </w:p>
    <w:p>
      <w:pPr>
        <w:ind w:left="1020" w:hanging="251"/>
        <w:spacing w:after="0"/>
        <w:tabs>
          <w:tab w:leader="none" w:pos="10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litigation and governmental investigations;</w:t>
      </w:r>
    </w:p>
    <w:p>
      <w:pPr>
        <w:ind w:left="1020" w:hanging="251"/>
        <w:spacing w:after="0"/>
        <w:tabs>
          <w:tab w:leader="none" w:pos="10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changing economic conditions;</w:t>
      </w:r>
    </w:p>
    <w:p>
      <w:pPr>
        <w:ind w:left="1020" w:hanging="251"/>
        <w:spacing w:after="0" w:line="221" w:lineRule="auto"/>
        <w:tabs>
          <w:tab w:leader="none" w:pos="10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exchange rate fluctuations;</w:t>
      </w:r>
    </w:p>
    <w:p>
      <w:pPr>
        <w:ind w:left="1020" w:hanging="251"/>
        <w:spacing w:after="0"/>
        <w:tabs>
          <w:tab w:leader="none" w:pos="10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changes in accounting principles; and</w:t>
      </w:r>
    </w:p>
    <w:p>
      <w:pPr>
        <w:ind w:left="1020" w:hanging="251"/>
        <w:spacing w:after="0"/>
        <w:tabs>
          <w:tab w:leader="none" w:pos="10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natural disasters, war, acts of terrorism or responses to those events.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securities analysts or industry analysts do not publish reports about our business or if they downgrade our stock or our sector, our stock price and trading volumes could decline.</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trading market for common stock depends in part on the research and reports that industry or financial analysts publish about us, our business or industry. We do not control these analysts. If one or more of the analysts who do cover us downgrade our stock or our industry or the stock of any of our competitors, or publish inaccurate or unfavourable research about our business or industry, the price of our stock could decline. If one or more of these analysts ceases coverage of us or fails to publish reports on us regularly, we could lose visibility in the market, which in turn could cause our stock price or trading volume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expect to pay any cash dividends for the foreseeable future.</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currently do not expect to declare dividends on our common stock and have not done so in the past. We continue to anticipate that our earnings will be used to provide working capital, to support operations and to finance the growth and development of our business. They may also be used to continue our share repurchase programme.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280"/>
          </w:cols>
          <w:pgMar w:left="300" w:top="1288" w:right="31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 social and governance matters may impact our business and reputation.</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organisations measure the performance of companies on such ESG topics, and the results of these assessments are widely publicised. In addition, investment in funds that specialise in companies that perform well in such assessments are increasingly popular, and major institutional investors have publicly emphasised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investors’ increased focus on ESG matters, there can be no certainty that we will manage such issues successfully, or that we will successfully meet society’s perceived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sectPr>
      <w:pgSz w:w="11900" w:h="16838" w:orient="portrait"/>
      <w:cols w:equalWidth="0" w:num="1">
        <w:col w:w="11280"/>
      </w:cols>
      <w:pgMar w:left="300" w:top="128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endash "/>
      <w:numFmt w:val="bullet"/>
      <w:start w:val="1"/>
    </w:lvl>
  </w:abstractNum>
  <w:abstractNum w:abstractNumId="1">
    <w:nsid w:val="4962813B"/>
    <w:multiLevelType w:val="hybridMultilevel"/>
    <w:lvl w:ilvl="0">
      <w:lvlJc w:val="left"/>
      <w:lvlText w:val="%1."/>
      <w:numFmt w:val="decimal"/>
      <w:start w:val="1"/>
    </w:lvl>
  </w:abstractNum>
  <w:abstractNum w:abstractNumId="2">
    <w:nsid w:val="60B6DF70"/>
    <w:multiLevelType w:val="hybridMultilevel"/>
    <w:lvl w:ilvl="0">
      <w:lvlJc w:val="left"/>
      <w:lvlText w:val="%1."/>
      <w:numFmt w:val="decimal"/>
      <w:start w:val="5"/>
    </w:lvl>
  </w:abstractNum>
  <w:abstractNum w:abstractNumId="3">
    <w:nsid w:val="6A5EE64"/>
    <w:multiLevelType w:val="hybridMultilevel"/>
    <w:lvl w:ilvl="0">
      <w:lvlJc w:val="left"/>
      <w:lvlText w:val="%1."/>
      <w:numFmt w:val="decimal"/>
      <w:start w:val="6"/>
    </w:lvl>
    <w:lvl w:ilvl="1">
      <w:lvlJc w:val="left"/>
      <w:lvlText w:val="(%2)"/>
      <w:numFmt w:val="lowerRoman"/>
      <w:start w:val="1"/>
    </w:lvl>
  </w:abstractNum>
  <w:abstractNum w:abstractNumId="4">
    <w:nsid w:val="14330624"/>
    <w:multiLevelType w:val="hybridMultilevel"/>
    <w:lvl w:ilvl="0">
      <w:lvlJc w:val="left"/>
      <w:lvlText w:val="%1."/>
      <w:numFmt w:val="decimal"/>
      <w:start w:val="8"/>
    </w:lvl>
  </w:abstractNum>
  <w:abstractNum w:abstractNumId="5">
    <w:nsid w:val="7FFFCA11"/>
    <w:multiLevelType w:val="hybridMultilevel"/>
    <w:lvl w:ilvl="0">
      <w:lvlJc w:val="left"/>
      <w:lvlText w:val="(%1)"/>
      <w:numFmt w:val="lowerRoman"/>
      <w:start w:val="1"/>
    </w:lvl>
  </w:abstractNum>
  <w:abstractNum w:abstractNumId="6">
    <w:nsid w:val="1A27709E"/>
    <w:multiLevelType w:val="hybridMultilevel"/>
    <w:lvl w:ilvl="0">
      <w:lvlJc w:val="left"/>
      <w:lvlText w:val="%1."/>
      <w:numFmt w:val="decimal"/>
      <w:start w:val="9"/>
    </w:lvl>
    <w:lvl w:ilvl="1">
      <w:lvlJc w:val="left"/>
      <w:lvlText w:val="(%2)"/>
      <w:numFmt w:val="lowerRoman"/>
      <w:start w:val="1"/>
    </w:lvl>
    <w:lvl w:ilvl="2">
      <w:lvlJc w:val="left"/>
      <w:lvlText w:val="(%3)"/>
      <w:numFmt w:val="decimal"/>
      <w:start w:val="30"/>
    </w:lvl>
  </w:abstractNum>
  <w:abstractNum w:abstractNumId="7">
    <w:nsid w:val="71EA1109"/>
    <w:multiLevelType w:val="hybridMultilevel"/>
    <w:lvl w:ilvl="0">
      <w:lvlJc w:val="left"/>
      <w:lvlText w:val="%1."/>
      <w:numFmt w:val="decimal"/>
      <w:start w:val="1"/>
    </w:lvl>
  </w:abstractNum>
  <w:abstractNum w:abstractNumId="8">
    <w:nsid w:val="100F59DC"/>
    <w:multiLevelType w:val="hybridMultilevel"/>
    <w:lvl w:ilvl="0">
      <w:lvlJc w:val="left"/>
      <w:lvlText w:val="%1."/>
      <w:numFmt w:val="decimal"/>
      <w:start w:val="2"/>
    </w:lvl>
  </w:abstractNum>
  <w:abstractNum w:abstractNumId="9">
    <w:nsid w:val="7FB7E0AA"/>
    <w:multiLevelType w:val="hybridMultilevel"/>
    <w:lvl w:ilvl="0">
      <w:lvlJc w:val="left"/>
      <w:lvlText w:val="%1."/>
      <w:numFmt w:val="decimal"/>
      <w:start w:val="3"/>
    </w:lvl>
  </w:abstractNum>
  <w:abstractNum w:abstractNumId="10">
    <w:nsid w:val="6EB5BD4"/>
    <w:multiLevelType w:val="hybridMultilevel"/>
    <w:lvl w:ilvl="0">
      <w:lvlJc w:val="left"/>
      <w:lvlText w:val="%1."/>
      <w:numFmt w:val="decimal"/>
      <w:start w:val="4"/>
    </w:lvl>
  </w:abstractNum>
  <w:abstractNum w:abstractNumId="11">
    <w:nsid w:val="6F6DD9AC"/>
    <w:multiLevelType w:val="hybridMultilevel"/>
    <w:lvl w:ilvl="0">
      <w:lvlJc w:val="left"/>
      <w:lvlText w:val="%1."/>
      <w:numFmt w:val="decimal"/>
      <w:start w:val="6"/>
    </w:lvl>
    <w:lvl w:ilvl="1">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1."/>
      <w:numFmt w:val="decimal"/>
      <w:start w:val="19"/>
    </w:lvl>
  </w:abstractNum>
  <w:abstractNum w:abstractNumId="14">
    <w:nsid w:val="76272110"/>
    <w:multiLevelType w:val="hybridMultilevel"/>
    <w:lvl w:ilvl="0">
      <w:lvlJc w:val="left"/>
      <w:lvlText w:val="(%1)"/>
      <w:numFmt w:val="decimal"/>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1)"/>
      <w:numFmt w:val="decimal"/>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lvl w:ilvl="1">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1."/>
      <w:numFmt w:val="decimal"/>
      <w:start w:val="1"/>
    </w:lvl>
  </w:abstractNum>
  <w:abstractNum w:abstractNumId="37">
    <w:nsid w:val="6AA78F7F"/>
    <w:multiLevelType w:val="hybridMultilevel"/>
    <w:lvl w:ilvl="0">
      <w:lvlJc w:val="left"/>
      <w:lvlText w:val="%1."/>
      <w:numFmt w:val="lowerLetter"/>
      <w:start w:val="1"/>
    </w:lvl>
  </w:abstractNum>
  <w:abstractNum w:abstractNumId="38">
    <w:nsid w:val="7672BD23"/>
    <w:multiLevelType w:val="hybridMultilevel"/>
    <w:lvl w:ilvl="0">
      <w:lvlJc w:val="left"/>
      <w:lvlText w:val="%1."/>
      <w:numFmt w:val="lowerLetter"/>
      <w:start w:val="1"/>
    </w:lvl>
  </w:abstractNum>
  <w:abstractNum w:abstractNumId="39">
    <w:nsid w:val="6FC75AF8"/>
    <w:multiLevelType w:val="hybridMultilevel"/>
    <w:lvl w:ilvl="0">
      <w:lvlJc w:val="left"/>
      <w:lvlText w:val="%1."/>
      <w:numFmt w:val="decimal"/>
      <w:start w:val="1"/>
    </w:lvl>
  </w:abstractNum>
  <w:abstractNum w:abstractNumId="40">
    <w:nsid w:val="6A5F7029"/>
    <w:multiLevelType w:val="hybridMultilevel"/>
    <w:lvl w:ilvl="0">
      <w:lvlJc w:val="left"/>
      <w:lvlText w:val="%1."/>
      <w:numFmt w:val="decimal"/>
      <w:start w:val="1"/>
    </w:lvl>
  </w:abstractNum>
  <w:abstractNum w:abstractNumId="41">
    <w:nsid w:val="7D5E18F8"/>
    <w:multiLevelType w:val="hybridMultilevel"/>
    <w:lvl w:ilvl="0">
      <w:lvlJc w:val="left"/>
      <w:lvlText w:val="%1."/>
      <w:numFmt w:val="decimal"/>
      <w:start w:val="1"/>
    </w:lvl>
  </w:abstractNum>
  <w:abstractNum w:abstractNumId="42">
    <w:nsid w:val="5F3534A4"/>
    <w:multiLevelType w:val="hybridMultilevel"/>
    <w:lvl w:ilvl="0">
      <w:lvlJc w:val="left"/>
      <w:lvlText w:val="%1."/>
      <w:numFmt w:val="decimal"/>
      <w:start w:val="1"/>
    </w:lvl>
  </w:abstractNum>
  <w:abstractNum w:abstractNumId="43">
    <w:nsid w:val="73A1821B"/>
    <w:multiLevelType w:val="hybridMultilevel"/>
    <w:lvl w:ilvl="0">
      <w:lvlJc w:val="left"/>
      <w:lvlText w:val="%1."/>
      <w:numFmt w:val="decimal"/>
      <w:start w:val="1"/>
    </w:lvl>
  </w:abstractNum>
  <w:abstractNum w:abstractNumId="44">
    <w:nsid w:val="7DE67713"/>
    <w:multiLevelType w:val="hybridMultilevel"/>
    <w:lvl w:ilvl="0">
      <w:lvlJc w:val="left"/>
      <w:lvlText w:val="(%1)"/>
      <w:numFmt w:val="lowerLetter"/>
      <w:start w:val="1"/>
    </w:lvl>
  </w:abstractNum>
  <w:abstractNum w:abstractNumId="45">
    <w:nsid w:val="555C55B5"/>
    <w:multiLevelType w:val="hybridMultilevel"/>
    <w:lvl w:ilvl="0">
      <w:lvlJc w:val="left"/>
      <w:lvlText w:val="(%1)"/>
      <w:numFmt w:val="lowerLetter"/>
      <w:start w:val="2"/>
    </w:lvl>
  </w:abstractNum>
  <w:abstractNum w:abstractNumId="46">
    <w:nsid w:val="3FA62ACA"/>
    <w:multiLevelType w:val="hybridMultilevel"/>
    <w:lvl w:ilvl="0">
      <w:lvlJc w:val="left"/>
      <w:lvlText w:val="(%1)"/>
      <w:numFmt w:val="lowerLetter"/>
      <w:start w:val="3"/>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1."/>
      <w:numFmt w:val="decimal"/>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1)"/>
      <w:numFmt w:val="lowerLetter"/>
      <w:start w:val="4"/>
    </w:lvl>
  </w:abstractNum>
  <w:abstractNum w:abstractNumId="51">
    <w:nsid w:val="53299938"/>
    <w:multiLevelType w:val="hybridMultilevel"/>
    <w:lvl w:ilvl="0">
      <w:lvlJc w:val="left"/>
      <w:lvlText w:val="%1."/>
      <w:numFmt w:val="decimal"/>
      <w:start w:val="1"/>
    </w:lvl>
  </w:abstractNum>
  <w:abstractNum w:abstractNumId="52">
    <w:nsid w:val="1FBFE8E0"/>
    <w:multiLevelType w:val="hybridMultilevel"/>
    <w:lvl w:ilvl="0">
      <w:lvlJc w:val="left"/>
      <w:lvlText w:val="(%1)"/>
      <w:numFmt w:val="lowerLetter"/>
      <w:start w:val="5"/>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1."/>
      <w:numFmt w:val="decimal"/>
      <w:start w:val="1"/>
    </w:lvl>
  </w:abstractNum>
  <w:abstractNum w:abstractNumId="55">
    <w:nsid w:val="59ADEA3D"/>
    <w:multiLevelType w:val="hybridMultilevel"/>
    <w:lvl w:ilvl="0">
      <w:lvlJc w:val="left"/>
      <w:lvlText w:val="(%1)"/>
      <w:numFmt w:val="lowerLetter"/>
      <w:start w:val="6"/>
    </w:lvl>
  </w:abstractNum>
  <w:abstractNum w:abstractNumId="56">
    <w:nsid w:val="288F1A34"/>
    <w:multiLevelType w:val="hybridMultilevel"/>
    <w:lvl w:ilvl="0">
      <w:lvlJc w:val="left"/>
      <w:lvlText w:val="%1."/>
      <w:numFmt w:val="decimal"/>
      <w:start w:val="1"/>
    </w:lvl>
  </w:abstractNum>
  <w:abstractNum w:abstractNumId="57">
    <w:nsid w:val="2A155DBC"/>
    <w:multiLevelType w:val="hybridMultilevel"/>
    <w:lvl w:ilvl="0">
      <w:lvlJc w:val="left"/>
      <w:lvlText w:val="%1."/>
      <w:numFmt w:val="decimal"/>
      <w:start w:val="1"/>
    </w:lvl>
  </w:abstractNum>
  <w:abstractNum w:abstractNumId="58">
    <w:nsid w:val="1D9F6E5F"/>
    <w:multiLevelType w:val="hybridMultilevel"/>
    <w:lvl w:ilvl="0">
      <w:lvlJc w:val="left"/>
      <w:lvlText w:val="%1."/>
      <w:numFmt w:val="decimal"/>
      <w:start w:val="1"/>
    </w:lvl>
  </w:abstractNum>
  <w:abstractNum w:abstractNumId="59">
    <w:nsid w:val="97E1B4E"/>
    <w:multiLevelType w:val="hybridMultilevel"/>
    <w:lvl w:ilvl="0">
      <w:lvlJc w:val="left"/>
      <w:lvlText w:val="%1."/>
      <w:numFmt w:val="decimal"/>
      <w:start w:val="1"/>
    </w:lvl>
  </w:abstractNum>
  <w:abstractNum w:abstractNumId="60">
    <w:nsid w:val="51088277"/>
    <w:multiLevelType w:val="hybridMultilevel"/>
    <w:lvl w:ilvl="0">
      <w:lvlJc w:val="left"/>
      <w:lvlText w:val="%1."/>
      <w:numFmt w:val="decimal"/>
      <w:start w:val="2"/>
    </w:lvl>
  </w:abstractNum>
  <w:abstractNum w:abstractNumId="61">
    <w:nsid w:val="1CA0C5FA"/>
    <w:multiLevelType w:val="hybridMultilevel"/>
    <w:lvl w:ilvl="0">
      <w:lvlJc w:val="left"/>
      <w:lvlText w:val="(%1)"/>
      <w:numFmt w:val="decimal"/>
      <w:start w:val="1"/>
    </w:lvl>
  </w:abstractNum>
  <w:abstractNum w:abstractNumId="62">
    <w:nsid w:val="53584BCB"/>
    <w:multiLevelType w:val="hybridMultilevel"/>
    <w:lvl w:ilvl="0">
      <w:lvlJc w:val="left"/>
      <w:lvlText w:val="%1."/>
      <w:numFmt w:val="decimal"/>
      <w:start w:val="6"/>
    </w:lvl>
  </w:abstractNum>
  <w:abstractNum w:abstractNumId="63">
    <w:nsid w:val="415E286C"/>
    <w:multiLevelType w:val="hybridMultilevel"/>
    <w:lvl w:ilvl="0">
      <w:lvlJc w:val="left"/>
      <w:lvlText w:val="%1."/>
      <w:numFmt w:val="decimal"/>
      <w:start w:val="6"/>
    </w:lvl>
  </w:abstractNum>
  <w:abstractNum w:abstractNumId="64">
    <w:nsid w:val="7C58FD05"/>
    <w:multiLevelType w:val="hybridMultilevel"/>
    <w:lvl w:ilvl="0">
      <w:lvlJc w:val="left"/>
      <w:lvlText w:val="%1."/>
      <w:numFmt w:val="decimal"/>
      <w:start w:val="6"/>
    </w:lvl>
  </w:abstractNum>
  <w:abstractNum w:abstractNumId="65">
    <w:nsid w:val="23D86AAC"/>
    <w:multiLevelType w:val="hybridMultilevel"/>
    <w:lvl w:ilvl="0">
      <w:lvlJc w:val="left"/>
      <w:lvlText w:val="%1."/>
      <w:numFmt w:val="decimal"/>
      <w:start w:val="6"/>
    </w:lvl>
  </w:abstractNum>
  <w:abstractNum w:abstractNumId="66">
    <w:nsid w:val="45E6D486"/>
    <w:multiLevelType w:val="hybridMultilevel"/>
    <w:lvl w:ilvl="0">
      <w:lvlJc w:val="left"/>
      <w:lvlText w:val="%1."/>
      <w:numFmt w:val="decimal"/>
      <w:start w:val="7"/>
    </w:lvl>
  </w:abstractNum>
  <w:abstractNum w:abstractNumId="67">
    <w:nsid w:val="5C10FE21"/>
    <w:multiLevelType w:val="hybridMultilevel"/>
    <w:lvl w:ilvl="0">
      <w:lvlJc w:val="left"/>
      <w:lvlText w:val="%1."/>
      <w:numFmt w:val="decimal"/>
      <w:start w:val="8"/>
    </w:lvl>
  </w:abstractNum>
  <w:abstractNum w:abstractNumId="68">
    <w:nsid w:val="E7FFA2B"/>
    <w:multiLevelType w:val="hybridMultilevel"/>
    <w:lvl w:ilvl="0">
      <w:lvlJc w:val="left"/>
      <w:lvlText w:val="*"/>
      <w:numFmt w:val="bullet"/>
      <w:start w:val="1"/>
    </w:lvl>
  </w:abstractNum>
  <w:abstractNum w:abstractNumId="69">
    <w:nsid w:val="3C5991AA"/>
    <w:multiLevelType w:val="hybridMultilevel"/>
    <w:lvl w:ilvl="0">
      <w:lvlJc w:val="left"/>
      <w:lvlText w:val="%1."/>
      <w:numFmt w:val="decimal"/>
      <w:start w:val="9"/>
    </w:lvl>
  </w:abstractNum>
  <w:abstractNum w:abstractNumId="70">
    <w:nsid w:val="4BD8591A"/>
    <w:multiLevelType w:val="hybridMultilevel"/>
    <w:lvl w:ilvl="0">
      <w:lvlJc w:val="left"/>
      <w:lvlText w:val="%1."/>
      <w:numFmt w:val="decimal"/>
      <w:start w:val="9"/>
    </w:lvl>
  </w:abstractNum>
  <w:abstractNum w:abstractNumId="71">
    <w:nsid w:val="78DF6A55"/>
    <w:multiLevelType w:val="hybridMultilevel"/>
    <w:lvl w:ilvl="0">
      <w:lvlJc w:val="left"/>
      <w:lvlText w:val="%1."/>
      <w:numFmt w:val="decimal"/>
      <w:start w:val="9"/>
    </w:lvl>
  </w:abstractNum>
  <w:abstractNum w:abstractNumId="72">
    <w:nsid w:val="39B7AAA2"/>
    <w:multiLevelType w:val="hybridMultilevel"/>
    <w:lvl w:ilvl="0">
      <w:lvlJc w:val="left"/>
      <w:lvlText w:val="(%1)"/>
      <w:numFmt w:val="decimal"/>
      <w:start w:val="1"/>
    </w:lvl>
  </w:abstractNum>
  <w:abstractNum w:abstractNumId="73">
    <w:nsid w:val="2B0D8DBE"/>
    <w:multiLevelType w:val="hybridMultilevel"/>
    <w:lvl w:ilvl="0">
      <w:lvlJc w:val="left"/>
      <w:lvlText w:val="%1."/>
      <w:numFmt w:val="decimal"/>
      <w:start w:val="9"/>
    </w:lvl>
  </w:abstractNum>
  <w:abstractNum w:abstractNumId="74">
    <w:nsid w:val="6C80EC70"/>
    <w:multiLevelType w:val="hybridMultilevel"/>
    <w:lvl w:ilvl="0">
      <w:lvlJc w:val="left"/>
      <w:lvlText w:val="%1."/>
      <w:numFmt w:val="decimal"/>
      <w:start w:val="9"/>
    </w:lvl>
  </w:abstractNum>
  <w:abstractNum w:abstractNumId="75">
    <w:nsid w:val="379E21B5"/>
    <w:multiLevelType w:val="hybridMultilevel"/>
    <w:lvl w:ilvl="0">
      <w:lvlJc w:val="left"/>
      <w:lvlText w:val="%1."/>
      <w:numFmt w:val="decimal"/>
      <w:start w:val="9"/>
    </w:lvl>
  </w:abstractNum>
  <w:abstractNum w:abstractNumId="76">
    <w:nsid w:val="69E373"/>
    <w:multiLevelType w:val="hybridMultilevel"/>
    <w:lvl w:ilvl="0">
      <w:lvlJc w:val="left"/>
      <w:lvlText w:val="%1."/>
      <w:numFmt w:val="decimal"/>
      <w:start w:val="10"/>
    </w:lvl>
  </w:abstractNum>
  <w:abstractNum w:abstractNumId="77">
    <w:nsid w:val="2C27173B"/>
    <w:multiLevelType w:val="hybridMultilevel"/>
    <w:lvl w:ilvl="0">
      <w:lvlJc w:val="left"/>
      <w:lvlText w:val="(%1)"/>
      <w:numFmt w:val="lowerRoman"/>
      <w:start w:val="1"/>
    </w:lvl>
  </w:abstractNum>
  <w:abstractNum w:abstractNumId="78">
    <w:nsid w:val="4C9B0904"/>
    <w:multiLevelType w:val="hybridMultilevel"/>
    <w:lvl w:ilvl="0">
      <w:lvlJc w:val="left"/>
      <w:lvlText w:val="%1."/>
      <w:numFmt w:val="decimal"/>
      <w:start w:val="10"/>
    </w:lvl>
    <w:lvl w:ilvl="1">
      <w:lvlJc w:val="left"/>
      <w:lvlText w:val="(%2)"/>
      <w:numFmt w:val="lowerRoman"/>
      <w:start w:val="2"/>
    </w:lvl>
  </w:abstractNum>
  <w:abstractNum w:abstractNumId="79">
    <w:nsid w:val="6AA7B75C"/>
    <w:multiLevelType w:val="hybridMultilevel"/>
    <w:lvl w:ilvl="0">
      <w:lvlJc w:val="left"/>
      <w:lvlText w:val="%1."/>
      <w:numFmt w:val="decimal"/>
      <w:start w:val="10"/>
    </w:lvl>
  </w:abstractNum>
  <w:abstractNum w:abstractNumId="80">
    <w:nsid w:val="1DF029D3"/>
    <w:multiLevelType w:val="hybridMultilevel"/>
    <w:lvl w:ilvl="0">
      <w:lvlJc w:val="left"/>
      <w:lvlText w:val="%1."/>
      <w:numFmt w:val="decimal"/>
      <w:start w:val="11"/>
    </w:lvl>
  </w:abstractNum>
  <w:abstractNum w:abstractNumId="81">
    <w:nsid w:val="5675FF36"/>
    <w:multiLevelType w:val="hybridMultilevel"/>
    <w:lvl w:ilvl="0">
      <w:lvlJc w:val="left"/>
      <w:lvlText w:val="%1."/>
      <w:numFmt w:val="decimal"/>
      <w:start w:val="11"/>
    </w:lvl>
  </w:abstractNum>
  <w:abstractNum w:abstractNumId="82">
    <w:nsid w:val="3DD15094"/>
    <w:multiLevelType w:val="hybridMultilevel"/>
    <w:lvl w:ilvl="0">
      <w:lvlJc w:val="left"/>
      <w:lvlText w:val="%1."/>
      <w:numFmt w:val="decimal"/>
      <w:start w:val="11"/>
    </w:lvl>
  </w:abstractNum>
  <w:abstractNum w:abstractNumId="83">
    <w:nsid w:val="3DB012B3"/>
    <w:multiLevelType w:val="hybridMultilevel"/>
    <w:lvl w:ilvl="0">
      <w:lvlJc w:val="left"/>
      <w:lvlText w:val="%1."/>
      <w:numFmt w:val="decimal"/>
      <w:start w:val="11"/>
    </w:lvl>
  </w:abstractNum>
  <w:abstractNum w:abstractNumId="84">
    <w:nsid w:val="2708C9AF"/>
    <w:multiLevelType w:val="hybridMultilevel"/>
    <w:lvl w:ilvl="0">
      <w:lvlJc w:val="left"/>
      <w:lvlText w:val="(%1)"/>
      <w:numFmt w:val="decimal"/>
      <w:start w:val="1"/>
    </w:lvl>
  </w:abstractNum>
  <w:abstractNum w:abstractNumId="85">
    <w:nsid w:val="5B25ACE2"/>
    <w:multiLevelType w:val="hybridMultilevel"/>
    <w:lvl w:ilvl="0">
      <w:lvlJc w:val="left"/>
      <w:lvlText w:val="%1."/>
      <w:numFmt w:val="decimal"/>
      <w:start w:val="11"/>
    </w:lvl>
  </w:abstractNum>
  <w:abstractNum w:abstractNumId="86">
    <w:nsid w:val="175DFCF0"/>
    <w:multiLevelType w:val="hybridMultilevel"/>
    <w:lvl w:ilvl="0">
      <w:lvlJc w:val="left"/>
      <w:lvlText w:val="%1."/>
      <w:numFmt w:val="decimal"/>
      <w:start w:val="12"/>
    </w:lvl>
  </w:abstractNum>
  <w:abstractNum w:abstractNumId="87">
    <w:nsid w:val="4F97E3E4"/>
    <w:multiLevelType w:val="hybridMultilevel"/>
    <w:lvl w:ilvl="0">
      <w:lvlJc w:val="left"/>
      <w:lvlText w:val="%1."/>
      <w:numFmt w:val="decimal"/>
      <w:start w:val="13"/>
    </w:lvl>
  </w:abstractNum>
  <w:abstractNum w:abstractNumId="88">
    <w:nsid w:val="53B0A9E"/>
    <w:multiLevelType w:val="hybridMultilevel"/>
    <w:lvl w:ilvl="0">
      <w:lvlJc w:val="left"/>
      <w:lvlText w:val="%1."/>
      <w:numFmt w:val="decimal"/>
      <w:start w:val="13"/>
    </w:lvl>
  </w:abstractNum>
  <w:abstractNum w:abstractNumId="89">
    <w:nsid w:val="34FD6B4F"/>
    <w:multiLevelType w:val="hybridMultilevel"/>
    <w:lvl w:ilvl="0">
      <w:lvlJc w:val="left"/>
      <w:lvlText w:val="%1."/>
      <w:numFmt w:val="decimal"/>
      <w:start w:val="13"/>
    </w:lvl>
  </w:abstractNum>
  <w:abstractNum w:abstractNumId="90">
    <w:nsid w:val="5915FF32"/>
    <w:multiLevelType w:val="hybridMultilevel"/>
    <w:lvl w:ilvl="0">
      <w:lvlJc w:val="left"/>
      <w:lvlText w:val="%1."/>
      <w:numFmt w:val="decimal"/>
      <w:start w:val="13"/>
    </w:lvl>
  </w:abstractNum>
  <w:abstractNum w:abstractNumId="91">
    <w:nsid w:val="56438D15"/>
    <w:multiLevelType w:val="hybridMultilevel"/>
    <w:lvl w:ilvl="0">
      <w:lvlJc w:val="left"/>
      <w:lvlText w:val="%1."/>
      <w:numFmt w:val="decimal"/>
      <w:start w:val="14"/>
    </w:lvl>
  </w:abstractNum>
  <w:abstractNum w:abstractNumId="92">
    <w:nsid w:val="519E3149"/>
    <w:multiLevelType w:val="hybridMultilevel"/>
    <w:lvl w:ilvl="0">
      <w:lvlJc w:val="left"/>
      <w:lvlText w:val="(%1)"/>
      <w:numFmt w:val="lowerLetter"/>
      <w:start w:val="1"/>
    </w:lvl>
  </w:abstractNum>
  <w:abstractNum w:abstractNumId="93">
    <w:nsid w:val="2C6E4AFD"/>
    <w:multiLevelType w:val="hybridMultilevel"/>
    <w:lvl w:ilvl="0">
      <w:lvlJc w:val="left"/>
      <w:lvlText w:val="*"/>
      <w:numFmt w:val="bullet"/>
      <w:start w:val="1"/>
    </w:lvl>
  </w:abstractNum>
  <w:abstractNum w:abstractNumId="94">
    <w:nsid w:val="17A1B582"/>
    <w:multiLevelType w:val="hybridMultilevel"/>
    <w:lvl w:ilvl="0">
      <w:lvlJc w:val="left"/>
      <w:lvlText w:val="**"/>
      <w:numFmt w:val="bullet"/>
      <w:start w:val="1"/>
    </w:lvl>
  </w:abstractNum>
  <w:abstractNum w:abstractNumId="95">
    <w:nsid w:val="4DF72E4E"/>
    <w:multiLevelType w:val="hybridMultilevel"/>
    <w:lvl w:ilvl="0">
      <w:lvlJc w:val="left"/>
      <w:lvlText w:val="%1."/>
      <w:numFmt w:val="decimal"/>
      <w:start w:val="14"/>
    </w:lvl>
  </w:abstractNum>
  <w:abstractNum w:abstractNumId="96">
    <w:nsid w:val="5046B5A9"/>
    <w:multiLevelType w:val="hybridMultilevel"/>
    <w:lvl w:ilvl="0">
      <w:lvlJc w:val="left"/>
      <w:lvlText w:val="(%1)"/>
      <w:numFmt w:val="lowerLetter"/>
      <w:start w:val="2"/>
    </w:lvl>
  </w:abstractNum>
  <w:abstractNum w:abstractNumId="97">
    <w:nsid w:val="5D888A08"/>
    <w:multiLevelType w:val="hybridMultilevel"/>
    <w:lvl w:ilvl="0">
      <w:lvlJc w:val="left"/>
      <w:lvlText w:val="%1."/>
      <w:numFmt w:val="decimal"/>
      <w:start w:val="14"/>
    </w:lvl>
  </w:abstractNum>
  <w:abstractNum w:abstractNumId="98">
    <w:nsid w:val="2A082C70"/>
    <w:multiLevelType w:val="hybridMultilevel"/>
    <w:lvl w:ilvl="0">
      <w:lvlJc w:val="left"/>
      <w:lvlText w:val="(%1)"/>
      <w:numFmt w:val="lowerLetter"/>
      <w:start w:val="3"/>
    </w:lvl>
  </w:abstractNum>
  <w:abstractNum w:abstractNumId="99">
    <w:nsid w:val="5EC6AFD4"/>
    <w:multiLevelType w:val="hybridMultilevel"/>
    <w:lvl w:ilvl="0">
      <w:lvlJc w:val="left"/>
      <w:lvlText w:val="%1."/>
      <w:numFmt w:val="decimal"/>
      <w:start w:val="14"/>
    </w:lvl>
  </w:abstractNum>
  <w:abstractNum w:abstractNumId="100">
    <w:nsid w:val="19E21BB2"/>
    <w:multiLevelType w:val="hybridMultilevel"/>
    <w:lvl w:ilvl="0">
      <w:lvlJc w:val="left"/>
      <w:lvlText w:val="%1."/>
      <w:numFmt w:val="decimal"/>
      <w:start w:val="14"/>
    </w:lvl>
  </w:abstractNum>
  <w:abstractNum w:abstractNumId="101">
    <w:nsid w:val="75E0858A"/>
    <w:multiLevelType w:val="hybridMultilevel"/>
    <w:lvl w:ilvl="0">
      <w:lvlJc w:val="left"/>
      <w:lvlText w:val="%1."/>
      <w:numFmt w:val="decimal"/>
      <w:start w:val="14"/>
    </w:lvl>
  </w:abstractNum>
  <w:abstractNum w:abstractNumId="102">
    <w:nsid w:val="57A61A29"/>
    <w:multiLevelType w:val="hybridMultilevel"/>
    <w:lvl w:ilvl="0">
      <w:lvlJc w:val="left"/>
      <w:lvlText w:val="%1."/>
      <w:numFmt w:val="decimal"/>
      <w:start w:val="16"/>
    </w:lvl>
  </w:abstractNum>
  <w:abstractNum w:abstractNumId="103">
    <w:nsid w:val="5399C654"/>
    <w:multiLevelType w:val="hybridMultilevel"/>
    <w:lvl w:ilvl="0">
      <w:lvlJc w:val="left"/>
      <w:lvlText w:val="%1."/>
      <w:numFmt w:val="decimal"/>
      <w:start w:val="16"/>
    </w:lvl>
  </w:abstractNum>
  <w:abstractNum w:abstractNumId="104">
    <w:nsid w:val="20EE1348"/>
    <w:multiLevelType w:val="hybridMultilevel"/>
    <w:lvl w:ilvl="0">
      <w:lvlJc w:val="left"/>
      <w:lvlText w:val="•"/>
      <w:numFmt w:val="bullet"/>
      <w:start w:val="1"/>
    </w:lvl>
  </w:abstractNum>
  <w:abstractNum w:abstractNumId="105">
    <w:nsid w:val="4427069A"/>
    <w:multiLevelType w:val="hybridMultilevel"/>
    <w:lvl w:ilvl="0">
      <w:lvlJc w:val="left"/>
      <w:lvlText w:val="%1."/>
      <w:numFmt w:val="decimal"/>
      <w:start w:val="16"/>
    </w:lvl>
  </w:abstractNum>
  <w:abstractNum w:abstractNumId="106">
    <w:nsid w:val="B37E80A"/>
    <w:multiLevelType w:val="hybridMultilevel"/>
    <w:lvl w:ilvl="0">
      <w:lvlJc w:val="left"/>
      <w:lvlText w:val="%1."/>
      <w:numFmt w:val="decimal"/>
      <w:start w:val="22"/>
    </w:lvl>
  </w:abstractNum>
  <w:abstractNum w:abstractNumId="107">
    <w:nsid w:val="2157F6BC"/>
    <w:multiLevelType w:val="hybridMultilevel"/>
    <w:lvl w:ilvl="0">
      <w:lvlJc w:val="left"/>
      <w:lvlText w:val="•"/>
      <w:numFmt w:val="bullet"/>
      <w:start w:val="1"/>
    </w:lvl>
  </w:abstractNum>
  <w:abstractNum w:abstractNumId="108">
    <w:nsid w:val="704E1DD5"/>
    <w:multiLevelType w:val="hybridMultilevel"/>
    <w:lvl w:ilvl="0">
      <w:lvlJc w:val="left"/>
      <w:lvlText w:val="•"/>
      <w:numFmt w:val="bullet"/>
      <w:start w:val="1"/>
    </w:lvl>
  </w:abstractNum>
  <w:abstractNum w:abstractNumId="109">
    <w:nsid w:val="57D2F10E"/>
    <w:multiLevelType w:val="hybridMultilevel"/>
    <w:lvl w:ilvl="0">
      <w:lvlJc w:val="left"/>
      <w:lvlText w:val="%1."/>
      <w:numFmt w:val="decimal"/>
      <w:start w:val="24"/>
    </w:lvl>
  </w:abstractNum>
  <w:abstractNum w:abstractNumId="110">
    <w:nsid w:val="BFFAE18"/>
    <w:multiLevelType w:val="hybridMultilevel"/>
    <w:lvl w:ilvl="0">
      <w:lvlJc w:val="left"/>
      <w:lvlText w:val="%1."/>
      <w:numFmt w:val="decimal"/>
      <w:start w:val="25"/>
    </w:lvl>
  </w:abstractNum>
  <w:abstractNum w:abstractNumId="111">
    <w:nsid w:val="E3E47A8"/>
    <w:multiLevelType w:val="hybridMultilevel"/>
    <w:lvl w:ilvl="0">
      <w:lvlJc w:val="left"/>
      <w:lvlText w:val="%1."/>
      <w:numFmt w:val="decimal"/>
      <w:start w:val="25"/>
    </w:lvl>
  </w:abstractNum>
  <w:abstractNum w:abstractNumId="112">
    <w:nsid w:val="2E48F044"/>
    <w:multiLevelType w:val="hybridMultilevel"/>
    <w:lvl w:ilvl="0">
      <w:lvlJc w:val="left"/>
      <w:lvlText w:val="%1."/>
      <w:numFmt w:val="decimal"/>
      <w:start w:val="26"/>
    </w:lvl>
  </w:abstractNum>
  <w:abstractNum w:abstractNumId="113">
    <w:nsid w:val="49D0FEAC"/>
    <w:multiLevelType w:val="hybridMultilevel"/>
    <w:lvl w:ilvl="0">
      <w:lvlJc w:val="left"/>
      <w:lvlText w:val="%1."/>
      <w:numFmt w:val="decimal"/>
      <w:start w:val="26"/>
    </w:lvl>
  </w:abstractNum>
  <w:abstractNum w:abstractNumId="114">
    <w:nsid w:val="4BEE5A5B"/>
    <w:multiLevelType w:val="hybridMultilevel"/>
    <w:lvl w:ilvl="0">
      <w:lvlJc w:val="left"/>
      <w:lvlText w:val="•"/>
      <w:numFmt w:val="bullet"/>
      <w:start w:val="1"/>
    </w:lvl>
  </w:abstractNum>
  <w:abstractNum w:abstractNumId="115">
    <w:nsid w:val="5551B9F3"/>
    <w:multiLevelType w:val="hybridMultilevel"/>
    <w:lvl w:ilvl="0">
      <w:lvlJc w:val="left"/>
      <w:lvlText w:val="•"/>
      <w:numFmt w:val="bullet"/>
      <w:start w:val="1"/>
    </w:lvl>
  </w:abstractNum>
  <w:abstractNum w:abstractNumId="116">
    <w:nsid w:val="24F6AB8E"/>
    <w:multiLevelType w:val="hybridMultilevel"/>
    <w:lvl w:ilvl="0">
      <w:lvlJc w:val="left"/>
      <w:lvlText w:val="%1."/>
      <w:numFmt w:val="decimal"/>
      <w:start w:val="26"/>
    </w:lvl>
  </w:abstractNum>
  <w:abstractNum w:abstractNumId="117">
    <w:nsid w:val="634C574C"/>
    <w:multiLevelType w:val="hybridMultilevel"/>
    <w:lvl w:ilvl="0">
      <w:lvlJc w:val="left"/>
      <w:lvlText w:val="%1."/>
      <w:numFmt w:val="decimal"/>
      <w:start w:val="26"/>
    </w:lvl>
  </w:abstractNum>
  <w:abstractNum w:abstractNumId="118">
    <w:nsid w:val="24E99DD7"/>
    <w:multiLevelType w:val="hybridMultilevel"/>
    <w:lvl w:ilvl="0">
      <w:lvlJc w:val="left"/>
      <w:lvlText w:val="%1."/>
      <w:numFmt w:val="decimal"/>
      <w:start w:val="26"/>
    </w:lvl>
  </w:abstractNum>
  <w:abstractNum w:abstractNumId="119">
    <w:nsid w:val="2A31B62D"/>
    <w:multiLevelType w:val="hybridMultilevel"/>
    <w:lvl w:ilvl="0">
      <w:lvlJc w:val="left"/>
      <w:lvlText w:val="%1."/>
      <w:numFmt w:val="decimal"/>
      <w:start w:val="26"/>
    </w:lvl>
  </w:abstractNum>
  <w:abstractNum w:abstractNumId="120">
    <w:nsid w:val="1849C29B"/>
    <w:multiLevelType w:val="hybridMultilevel"/>
    <w:lvl w:ilvl="0">
      <w:lvlJc w:val="left"/>
      <w:lvlText w:val="%1."/>
      <w:numFmt w:val="decimal"/>
      <w:start w:val="26"/>
    </w:lvl>
  </w:abstractNum>
  <w:abstractNum w:abstractNumId="121">
    <w:nsid w:val="7DFF9D09"/>
    <w:multiLevelType w:val="hybridMultilevel"/>
    <w:lvl w:ilvl="0">
      <w:lvlJc w:val="left"/>
      <w:lvlText w:val="%1."/>
      <w:numFmt w:val="decimal"/>
      <w:start w:val="28"/>
    </w:lvl>
  </w:abstractNum>
  <w:abstractNum w:abstractNumId="122">
    <w:nsid w:val="754342"/>
    <w:multiLevelType w:val="hybridMultilevel"/>
    <w:lvl w:ilvl="0">
      <w:lvlJc w:val="left"/>
      <w:lvlText w:val="%1)"/>
      <w:numFmt w:val="lowerLetter"/>
      <w:start w:val="1"/>
    </w:lvl>
  </w:abstractNum>
  <w:abstractNum w:abstractNumId="123">
    <w:nsid w:val="69E7F3E5"/>
    <w:multiLevelType w:val="hybridMultilevel"/>
    <w:lvl w:ilvl="0">
      <w:lvlJc w:val="left"/>
      <w:lvlText w:val="(%1)"/>
      <w:numFmt w:val="lowerLetter"/>
      <w:start w:val="2"/>
    </w:lvl>
  </w:abstractNum>
  <w:abstractNum w:abstractNumId="124">
    <w:nsid w:val="2A6DE806"/>
    <w:multiLevelType w:val="hybridMultilevel"/>
    <w:lvl w:ilvl="0">
      <w:lvlJc w:val="left"/>
      <w:lvlText w:val="(%1)"/>
      <w:numFmt w:val="lowerLetter"/>
      <w:start w:val="2"/>
    </w:lvl>
    <w:lvl w:ilvl="1">
      <w:lvlJc w:val="left"/>
      <w:lvlText w:val="•"/>
      <w:numFmt w:val="bullet"/>
      <w:start w:val="1"/>
    </w:lvl>
  </w:abstractNum>
  <w:abstractNum w:abstractNumId="125">
    <w:nsid w:val="1816F8C4"/>
    <w:multiLevelType w:val="hybridMultilevel"/>
    <w:lvl w:ilvl="0">
      <w:lvlJc w:val="left"/>
      <w:lvlText w:val="%1."/>
      <w:numFmt w:val="decimal"/>
      <w:start w:val="28"/>
    </w:lvl>
  </w:abstractNum>
  <w:abstractNum w:abstractNumId="126">
    <w:nsid w:val="37DF2233"/>
    <w:multiLevelType w:val="hybridMultilevel"/>
    <w:lvl w:ilvl="0">
      <w:lvlJc w:val="left"/>
      <w:lvlText w:val="%1."/>
      <w:numFmt w:val="decimal"/>
      <w:start w:val="29"/>
    </w:lvl>
  </w:abstractNum>
  <w:abstractNum w:abstractNumId="127">
    <w:nsid w:val="7AB49DAF"/>
    <w:multiLevelType w:val="hybridMultilevel"/>
    <w:lvl w:ilvl="0">
      <w:lvlJc w:val="left"/>
      <w:lvlText w:val="%1."/>
      <w:numFmt w:val="decimal"/>
      <w:start w:val="30"/>
    </w:lvl>
  </w:abstractNum>
  <w:abstractNum w:abstractNumId="128">
    <w:nsid w:val="759F82CD"/>
    <w:multiLevelType w:val="hybridMultilevel"/>
    <w:lvl w:ilvl="0">
      <w:lvlJc w:val="left"/>
      <w:lvlText w:val="(%1)"/>
      <w:numFmt w:val="lowerRoman"/>
      <w:start w:val="1"/>
    </w:lvl>
  </w:abstractNum>
  <w:abstractNum w:abstractNumId="129">
    <w:nsid w:val="61E74EA3"/>
    <w:multiLevelType w:val="hybridMultilevel"/>
    <w:lvl w:ilvl="0">
      <w:lvlJc w:val="left"/>
      <w:lvlText w:val="%1."/>
      <w:numFmt w:val="decimal"/>
      <w:start w:val="30"/>
    </w:lvl>
  </w:abstractNum>
  <w:abstractNum w:abstractNumId="130">
    <w:nsid w:val="597B4D84"/>
    <w:multiLevelType w:val="hybridMultilevel"/>
    <w:lvl w:ilvl="0">
      <w:lvlJc w:val="left"/>
      <w:lvlText w:val="(%1)"/>
      <w:numFmt w:val="lowerRoman"/>
      <w:start w:val="2"/>
    </w:lvl>
  </w:abstractNum>
  <w:abstractNum w:abstractNumId="131">
    <w:nsid w:val="F819E7F"/>
    <w:multiLevelType w:val="hybridMultilevel"/>
    <w:lvl w:ilvl="0">
      <w:lvlJc w:val="left"/>
      <w:lvlText w:val="%1."/>
      <w:numFmt w:val="decimal"/>
      <w:start w:val="31"/>
    </w:lvl>
  </w:abstractNum>
  <w:abstractNum w:abstractNumId="132">
    <w:nsid w:val="57C7D42D"/>
    <w:multiLevelType w:val="hybridMultilevel"/>
    <w:lvl w:ilvl="0">
      <w:lvlJc w:val="left"/>
      <w:lvlText w:val="%1."/>
      <w:numFmt w:val="decimal"/>
      <w:start w:val="32"/>
    </w:lvl>
  </w:abstractNum>
  <w:abstractNum w:abstractNumId="133">
    <w:nsid w:val="312167AD"/>
    <w:multiLevelType w:val="hybridMultilevel"/>
    <w:lvl w:ilvl="0">
      <w:lvlJc w:val="left"/>
      <w:lvlText w:val="**"/>
      <w:numFmt w:val="bullet"/>
      <w:start w:val="1"/>
    </w:lvl>
  </w:abstractNum>
  <w:abstractNum w:abstractNumId="134">
    <w:nsid w:val="631B64D4"/>
    <w:multiLevelType w:val="hybridMultilevel"/>
    <w:lvl w:ilvl="0">
      <w:lvlJc w:val="left"/>
      <w:lvlText w:val="***"/>
      <w:numFmt w:val="bullet"/>
      <w:start w:val="1"/>
    </w:lvl>
  </w:abstractNum>
  <w:abstractNum w:abstractNumId="135">
    <w:nsid w:val="78B5E776"/>
    <w:multiLevelType w:val="hybridMultilevel"/>
    <w:lvl w:ilvl="0">
      <w:lvlJc w:val="left"/>
      <w:lvlText w:val="*****"/>
      <w:numFmt w:val="bullet"/>
      <w:start w:val="1"/>
    </w:lvl>
  </w:abstractNum>
  <w:abstractNum w:abstractNumId="136">
    <w:nsid w:val="75486E47"/>
    <w:multiLevelType w:val="hybridMultilevel"/>
    <w:lvl w:ilvl="0">
      <w:lvlJc w:val="left"/>
      <w:lvlText w:val="%1."/>
      <w:numFmt w:val="lowerLetter"/>
      <w:start w:val="1"/>
    </w:lvl>
  </w:abstractNum>
  <w:abstractNum w:abstractNumId="137">
    <w:nsid w:val="6E534CDE"/>
    <w:multiLevelType w:val="hybridMultilevel"/>
    <w:lvl w:ilvl="0">
      <w:lvlJc w:val="left"/>
      <w:lvlText w:val="%1."/>
      <w:numFmt w:val="decimal"/>
      <w:start w:val="35"/>
    </w:lvl>
  </w:abstractNum>
  <w:abstractNum w:abstractNumId="138">
    <w:nsid w:val="1A0DDE32"/>
    <w:multiLevelType w:val="hybridMultilevel"/>
    <w:lvl w:ilvl="0">
      <w:lvlJc w:val="left"/>
      <w:lvlText w:val="%1."/>
      <w:numFmt w:val="decimal"/>
      <w:start w:val="5"/>
    </w:lvl>
  </w:abstractNum>
  <w:abstractNum w:abstractNumId="139">
    <w:nsid w:val="65968C1C"/>
    <w:multiLevelType w:val="hybridMultilevel"/>
    <w:lvl w:ilvl="0">
      <w:lvlJc w:val="left"/>
      <w:lvlText w:val="%1."/>
      <w:numFmt w:val="decimal"/>
      <w:start w:val="6"/>
    </w:lvl>
  </w:abstractNum>
  <w:abstractNum w:abstractNumId="140">
    <w:nsid w:val="46263DEC"/>
    <w:multiLevelType w:val="hybridMultilevel"/>
    <w:lvl w:ilvl="0">
      <w:lvlJc w:val="left"/>
      <w:lvlText w:val="(%1)"/>
      <w:numFmt w:val="lowerLetter"/>
      <w:start w:val="1"/>
    </w:lvl>
  </w:abstractNum>
  <w:abstractNum w:abstractNumId="141">
    <w:nsid w:val="260D8C4A"/>
    <w:multiLevelType w:val="hybridMultilevel"/>
    <w:lvl w:ilvl="0">
      <w:lvlJc w:val="left"/>
      <w:lvlText w:val="%1."/>
      <w:numFmt w:val="decimal"/>
      <w:start w:val="10"/>
    </w:lvl>
  </w:abstractNum>
  <w:abstractNum w:abstractNumId="142">
    <w:nsid w:val="73D4D3C4"/>
    <w:multiLevelType w:val="hybridMultilevel"/>
    <w:lvl w:ilvl="0">
      <w:lvlJc w:val="left"/>
      <w:lvlText w:val="%1."/>
      <w:numFmt w:val="decimal"/>
      <w:start w:val="11"/>
    </w:lvl>
  </w:abstractNum>
  <w:abstractNum w:abstractNumId="143">
    <w:nsid w:val="746F2E30"/>
    <w:multiLevelType w:val="hybridMultilevel"/>
    <w:lvl w:ilvl="0">
      <w:lvlJc w:val="left"/>
      <w:lvlText w:val="%1."/>
      <w:numFmt w:val="decimal"/>
      <w:start w:val="11"/>
    </w:lvl>
  </w:abstractNum>
  <w:abstractNum w:abstractNumId="144">
    <w:nsid w:val="6FDE8AF6"/>
    <w:multiLevelType w:val="hybridMultilevel"/>
    <w:lvl w:ilvl="0">
      <w:lvlJc w:val="left"/>
      <w:lvlText w:val="%1."/>
      <w:numFmt w:val="decimal"/>
      <w:start w:val="12"/>
    </w:lvl>
  </w:abstractNum>
  <w:abstractNum w:abstractNumId="145">
    <w:nsid w:val="3FC32E20"/>
    <w:multiLevelType w:val="hybridMultilevel"/>
    <w:lvl w:ilvl="0">
      <w:lvlJc w:val="left"/>
      <w:lvlText w:val="%1"/>
      <w:numFmt w:val="lowerLetter"/>
      <w:start w:val="1"/>
    </w:lvl>
    <w:lvl w:ilvl="1">
      <w:lvlJc w:val="left"/>
      <w:lvlText w:val="(%2)"/>
      <w:numFmt w:val="lowerRoman"/>
      <w:start w:val="1"/>
    </w:lvl>
  </w:abstractNum>
  <w:abstractNum w:abstractNumId="146">
    <w:nsid w:val="49C0E823"/>
    <w:multiLevelType w:val="hybridMultilevel"/>
    <w:lvl w:ilvl="0">
      <w:lvlJc w:val="left"/>
      <w:lvlText w:val="(%1)"/>
      <w:numFmt w:val="lowerLetter"/>
      <w:start w:val="3"/>
    </w:lvl>
    <w:lvl w:ilvl="1">
      <w:lvlJc w:val="left"/>
      <w:lvlText w:val="%2"/>
      <w:numFmt w:val="lowerRoman"/>
      <w:start w:val="1"/>
    </w:lvl>
  </w:abstractNum>
  <w:abstractNum w:abstractNumId="147">
    <w:nsid w:val="14D53685"/>
    <w:multiLevelType w:val="hybridMultilevel"/>
    <w:lvl w:ilvl="0">
      <w:lvlJc w:val="left"/>
      <w:lvlText w:val="•"/>
      <w:numFmt w:val="bullet"/>
      <w:start w:val="1"/>
    </w:lvl>
  </w:abstractNum>
  <w:abstractNum w:abstractNumId="148">
    <w:nsid w:val="230F856C"/>
    <w:multiLevelType w:val="hybridMultilevel"/>
    <w:lvl w:ilvl="0">
      <w:lvlJc w:val="left"/>
      <w:lvlText w:val="•"/>
      <w:numFmt w:val="bullet"/>
      <w:start w:val="1"/>
    </w:lvl>
  </w:abstractNum>
  <w:abstractNum w:abstractNumId="149">
    <w:nsid w:val="6EAA85FB"/>
    <w:multiLevelType w:val="hybridMultilevel"/>
    <w:lvl w:ilvl="0">
      <w:lvlJc w:val="left"/>
      <w:lvlText w:val="•"/>
      <w:numFmt w:val="bullet"/>
      <w:start w:val="1"/>
    </w:lvl>
  </w:abstractNum>
  <w:abstractNum w:abstractNumId="150">
    <w:nsid w:val="3F06ECB2"/>
    <w:multiLevelType w:val="hybridMultilevel"/>
    <w:lvl w:ilvl="0">
      <w:lvlJc w:val="left"/>
      <w:lvlText w:val="•"/>
      <w:numFmt w:val="bullet"/>
      <w:start w:val="1"/>
    </w:lvl>
  </w:abstractNum>
  <w:abstractNum w:abstractNumId="151">
    <w:nsid w:val="3B594807"/>
    <w:multiLevelType w:val="hybridMultilevel"/>
    <w:lvl w:ilvl="0">
      <w:lvlJc w:val="left"/>
      <w:lvlText w:val="•"/>
      <w:numFmt w:val="bullet"/>
      <w:start w:val="1"/>
    </w:lvl>
  </w:abstractNum>
  <w:abstractNum w:abstractNumId="152">
    <w:nsid w:val="6CAA2304"/>
    <w:multiLevelType w:val="hybridMultilevel"/>
    <w:lvl w:ilvl="0">
      <w:lvlJc w:val="left"/>
      <w:lvlText w:val="•"/>
      <w:numFmt w:val="bullet"/>
      <w:start w:val="1"/>
    </w:lvl>
  </w:abstractNum>
  <w:abstractNum w:abstractNumId="153">
    <w:nsid w:val="3F7C2FF4"/>
    <w:multiLevelType w:val="hybridMultilevel"/>
    <w:lvl w:ilvl="0">
      <w:lvlJc w:val="left"/>
      <w:lvlText w:val="•"/>
      <w:numFmt w:val="bullet"/>
      <w:start w:val="1"/>
    </w:lvl>
  </w:abstractNum>
  <w:abstractNum w:abstractNumId="154">
    <w:nsid w:val="25413BEC"/>
    <w:multiLevelType w:val="hybridMultilevel"/>
    <w:lvl w:ilvl="0">
      <w:lvlJc w:val="left"/>
      <w:lvlText w:val="•"/>
      <w:numFmt w:val="bullet"/>
      <w:start w:val="1"/>
    </w:lvl>
  </w:abstractNum>
  <w:abstractNum w:abstractNumId="155">
    <w:nsid w:val="17180B0B"/>
    <w:multiLevelType w:val="hybridMultilevel"/>
    <w:lvl w:ilvl="0">
      <w:lvlJc w:val="left"/>
      <w:lvlText w:val="•"/>
      <w:numFmt w:val="bullet"/>
      <w:start w:val="1"/>
    </w:lvl>
  </w:abstractNum>
  <w:abstractNum w:abstractNumId="156">
    <w:nsid w:val="579328B9"/>
    <w:multiLevelType w:val="hybridMultilevel"/>
    <w:lvl w:ilvl="0">
      <w:lvlJc w:val="left"/>
      <w:lvlText w:val="▪"/>
      <w:numFmt w:val="bullet"/>
      <w:start w:val="1"/>
    </w:lvl>
  </w:abstractNum>
  <w:abstractNum w:abstractNumId="157">
    <w:nsid w:val="5D205E20"/>
    <w:multiLevelType w:val="hybridMultilevel"/>
    <w:lvl w:ilvl="0">
      <w:lvlJc w:val="left"/>
      <w:lvlText w:val="•"/>
      <w:numFmt w:val="bullet"/>
      <w:start w:val="1"/>
    </w:lvl>
  </w:abstractNum>
  <w:abstractNum w:abstractNumId="158">
    <w:nsid w:val="11CCA8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2021-06-16T15:19:07Z</dcterms:created>
  <dcterms:modified xsi:type="dcterms:W3CDTF">2021-06-16T15:19:07Z</dcterms:modified>
</cp:coreProperties>
</file>