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2010</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October 21, 2010</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Icon Reports Revenues of $225 Million up 2% on Prior Year (Nasdaq:ICLR) (ISIN:IE0005711209)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DUBLIN--(BUSINESS WIRE)--October 21, 2010--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Third Quarter 2010</w:t>
      </w:r>
    </w:p>
    <w:p>
      <w:pPr>
        <w:spacing w:after="0" w:line="21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Net revenue of $225 million, a 2% increase vs. Q3 2009</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Operating margin of 12.0% before central lab and foreign exchange translation losses.</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Operating margin of 7.8% on a GAAP basis</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GAAP EPS of 33 cent</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Net cash rises to $231 million</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Gross new business wins for the quarter of $317m (net $225m)</w:t>
      </w:r>
    </w:p>
    <w:p>
      <w:pPr>
        <w:spacing w:after="0" w:line="20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ICON (NASDAQ: ICLR) )(ISIN:IE0005711209), a global provider of outsourced development services to the pharmaceutical, biotechnology and medical device industries, today reported its financial results for the third quarter ended September 30, 2010.</w:t>
      </w:r>
    </w:p>
    <w:p>
      <w:pPr>
        <w:spacing w:after="0" w:line="10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Net revenues for the quarter were $225 million, representing a 2% increase over net revenues of $220 million for the same quarter last year. On a constant currency basis revenue grew by 7%. Year-to-date, net revenues were $668 million, representing a 1% increase over the same period last year.</w:t>
      </w:r>
    </w:p>
    <w:p>
      <w:pPr>
        <w:spacing w:after="0" w:line="18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Income from operations was $17.6 million or 7.8% of revenue, after the central lab incurred operating losses of approx $4.6 million and a further $3.0 million of cost reduction and other non-recurring charges. In addition, foreign exchange translation losses of $1.8 million were incurred. Excluding these, operating income was $27 million compared to $30.4 million for the same quarter last year.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The company recognised a tax gain in the current quarter of $2.0m, compared to $5.8m of a charge in Q3 2009.</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Net income was $19.9 million or 33 cents per share on a diluted basis, compared to $23.9 million or 40 cents per share last year.</w:t>
      </w:r>
    </w:p>
    <w:p>
      <w:pPr>
        <w:spacing w:after="0" w:line="24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36 days at September 30, 2010, compared to 33 days at December 31, 2009.</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company’s net cash, amounted to $231 million at September 30, 2010, compared to net cash of $221 million at the end of June 2010 and $194 million at December 31, 2009.</w:t>
      </w:r>
    </w:p>
    <w:p>
      <w:pPr>
        <w:spacing w:after="0" w:line="173"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“Our clinical business had another solid quarter and gross new business awards were in line with expectations at $317 million and net bookings were $225 million.” commented CEO Mr Peter Gray. “The expansion of our central lab global footprint continues to be validated by another strong quarter of business wins yielding a year-to-date net book to bill of 1.8. However, this growing backlog did not convert to revenue as quickly as forecast. Cost reduction actions have already been taken and further cost alignment measures are planned. Overall, ICON remains in a strong position and continues to invest in its business in order to benefit from the opportunities that are arising as our customers transition to new development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third quarter conference call today, October 21, 2010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71 locations in 39 countries and has approximately 7,800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6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rPr>
              <w:t>ICON plc</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40" w:type="dxa"/>
            <w:vAlign w:val="bottom"/>
          </w:tcPr>
          <w:p>
            <w:pPr>
              <w:spacing w:after="0"/>
              <w:rPr>
                <w:sz w:val="24"/>
                <w:szCs w:val="24"/>
                <w:color w:val="auto"/>
              </w:rPr>
            </w:pPr>
          </w:p>
        </w:tc>
        <w:tc>
          <w:tcPr>
            <w:tcW w:w="5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Consolidated Income Statements (Unaudited) (Before one time net charges)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40" w:type="dxa"/>
            <w:vAlign w:val="bottom"/>
          </w:tcPr>
          <w:p>
            <w:pPr>
              <w:spacing w:after="0"/>
              <w:rPr>
                <w:sz w:val="24"/>
                <w:szCs w:val="24"/>
                <w:color w:val="auto"/>
              </w:rPr>
            </w:pPr>
          </w:p>
        </w:tc>
        <w:tc>
          <w:tcPr>
            <w:tcW w:w="5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Three and Nine Months ended September 30, 2010 and September 30, 2009</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gridSpan w:val="4"/>
          </w:tcPr>
          <w:p>
            <w:pPr>
              <w:ind w:left="720"/>
              <w:spacing w:after="0"/>
              <w:rPr>
                <w:sz w:val="20"/>
                <w:szCs w:val="20"/>
                <w:color w:val="auto"/>
              </w:rPr>
            </w:pPr>
            <w:r>
              <w:rPr>
                <w:rFonts w:ascii="Arial" w:cs="Arial" w:eastAsia="Arial" w:hAnsi="Arial"/>
                <w:sz w:val="14"/>
                <w:szCs w:val="14"/>
                <w:b w:val="1"/>
                <w:bCs w:val="1"/>
                <w:color w:val="auto"/>
                <w:w w:val="95"/>
              </w:rPr>
              <w:t>Three Months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3"/>
          </w:tcPr>
          <w:p>
            <w:pPr>
              <w:ind w:left="820"/>
              <w:spacing w:after="0"/>
              <w:rPr>
                <w:sz w:val="20"/>
                <w:szCs w:val="20"/>
                <w:color w:val="auto"/>
              </w:rPr>
            </w:pPr>
            <w:r>
              <w:rPr>
                <w:rFonts w:ascii="Arial" w:cs="Arial" w:eastAsia="Arial" w:hAnsi="Arial"/>
                <w:sz w:val="14"/>
                <w:szCs w:val="14"/>
                <w:b w:val="1"/>
                <w:bCs w:val="1"/>
                <w:color w:val="auto"/>
                <w:w w:val="99"/>
              </w:rPr>
              <w:t>Nine Months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6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rPr>
              <w:t>September</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September</w:t>
            </w:r>
          </w:p>
        </w:tc>
        <w:tc>
          <w:tcPr>
            <w:tcW w:w="214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September</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September</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51"/>
        </w:trPr>
        <w:tc>
          <w:tcPr>
            <w:tcW w:w="304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323,230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317,179</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945,868</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936,686</w:t>
            </w:r>
          </w:p>
        </w:tc>
        <w:tc>
          <w:tcPr>
            <w:tcW w:w="0" w:type="dxa"/>
            <w:vAlign w:val="bottom"/>
          </w:tcPr>
          <w:p>
            <w:pPr>
              <w:spacing w:after="0"/>
              <w:rPr>
                <w:sz w:val="1"/>
                <w:szCs w:val="1"/>
                <w:color w:val="auto"/>
              </w:rPr>
            </w:pPr>
          </w:p>
        </w:tc>
      </w:tr>
      <w:tr>
        <w:trPr>
          <w:trHeight w:val="351"/>
        </w:trPr>
        <w:tc>
          <w:tcPr>
            <w:tcW w:w="3040" w:type="dxa"/>
            <w:vAlign w:val="bottom"/>
          </w:tcPr>
          <w:p>
            <w:pPr>
              <w:ind w:left="120"/>
              <w:spacing w:after="0"/>
              <w:rPr>
                <w:sz w:val="20"/>
                <w:szCs w:val="20"/>
                <w:color w:val="auto"/>
              </w:rPr>
            </w:pPr>
            <w:r>
              <w:rPr>
                <w:rFonts w:ascii="Arial" w:cs="Arial" w:eastAsia="Arial" w:hAnsi="Arial"/>
                <w:sz w:val="14"/>
                <w:szCs w:val="14"/>
                <w:color w:val="auto"/>
              </w:rPr>
              <w:t>Reimbursable expenses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98,135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96,818</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277,910</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276,493</w:t>
            </w:r>
          </w:p>
        </w:tc>
        <w:tc>
          <w:tcPr>
            <w:tcW w:w="0" w:type="dxa"/>
            <w:vAlign w:val="bottom"/>
          </w:tcPr>
          <w:p>
            <w:pPr>
              <w:spacing w:after="0"/>
              <w:rPr>
                <w:sz w:val="1"/>
                <w:szCs w:val="1"/>
                <w:color w:val="auto"/>
              </w:rPr>
            </w:pPr>
          </w:p>
        </w:tc>
      </w:tr>
      <w:tr>
        <w:trPr>
          <w:trHeight w:val="174"/>
        </w:trPr>
        <w:tc>
          <w:tcPr>
            <w:tcW w:w="3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3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225,095</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220,361</w:t>
            </w:r>
          </w:p>
        </w:tc>
        <w:tc>
          <w:tcPr>
            <w:tcW w:w="36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667,958</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660,193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4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139,460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127,179</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401,647</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376,493</w:t>
            </w:r>
          </w:p>
        </w:tc>
        <w:tc>
          <w:tcPr>
            <w:tcW w:w="0" w:type="dxa"/>
            <w:vAlign w:val="bottom"/>
          </w:tcPr>
          <w:p>
            <w:pPr>
              <w:spacing w:after="0"/>
              <w:rPr>
                <w:sz w:val="1"/>
                <w:szCs w:val="1"/>
                <w:color w:val="auto"/>
              </w:rPr>
            </w:pPr>
          </w:p>
        </w:tc>
      </w:tr>
      <w:tr>
        <w:trPr>
          <w:trHeight w:val="176"/>
        </w:trPr>
        <w:tc>
          <w:tcPr>
            <w:tcW w:w="304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60,008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54,369</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171,225</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173,637</w:t>
            </w:r>
          </w:p>
        </w:tc>
        <w:tc>
          <w:tcPr>
            <w:tcW w:w="0" w:type="dxa"/>
            <w:vAlign w:val="bottom"/>
          </w:tcPr>
          <w:p>
            <w:pPr>
              <w:spacing w:after="0"/>
              <w:rPr>
                <w:sz w:val="1"/>
                <w:szCs w:val="1"/>
                <w:color w:val="auto"/>
              </w:rPr>
            </w:pPr>
          </w:p>
        </w:tc>
      </w:tr>
      <w:tr>
        <w:trPr>
          <w:trHeight w:val="182"/>
        </w:trPr>
        <w:tc>
          <w:tcPr>
            <w:tcW w:w="30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8,404</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25,005</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23,420</w:t>
            </w:r>
          </w:p>
        </w:tc>
        <w:tc>
          <w:tcPr>
            <w:tcW w:w="0" w:type="dxa"/>
            <w:vAlign w:val="bottom"/>
          </w:tcPr>
          <w:p>
            <w:pPr>
              <w:spacing w:after="0"/>
              <w:rPr>
                <w:sz w:val="1"/>
                <w:szCs w:val="1"/>
                <w:color w:val="auto"/>
              </w:rPr>
            </w:pPr>
          </w:p>
        </w:tc>
      </w:tr>
      <w:tr>
        <w:trPr>
          <w:trHeight w:val="174"/>
        </w:trPr>
        <w:tc>
          <w:tcPr>
            <w:tcW w:w="3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3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207,470</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189,952</w:t>
            </w:r>
          </w:p>
        </w:tc>
        <w:tc>
          <w:tcPr>
            <w:tcW w:w="36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597,877</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573,550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4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17,625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30,409</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70,081</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86,643</w:t>
            </w:r>
          </w:p>
        </w:tc>
        <w:tc>
          <w:tcPr>
            <w:tcW w:w="0" w:type="dxa"/>
            <w:vAlign w:val="bottom"/>
          </w:tcPr>
          <w:p>
            <w:pPr>
              <w:spacing w:after="0"/>
              <w:rPr>
                <w:sz w:val="1"/>
                <w:szCs w:val="1"/>
                <w:color w:val="auto"/>
              </w:rPr>
            </w:pPr>
          </w:p>
        </w:tc>
      </w:tr>
      <w:tr>
        <w:trPr>
          <w:trHeight w:val="351"/>
        </w:trPr>
        <w:tc>
          <w:tcPr>
            <w:tcW w:w="3040" w:type="dxa"/>
            <w:vAlign w:val="bottom"/>
          </w:tcPr>
          <w:p>
            <w:pPr>
              <w:ind w:left="120"/>
              <w:spacing w:after="0"/>
              <w:rPr>
                <w:sz w:val="20"/>
                <w:szCs w:val="20"/>
                <w:color w:val="auto"/>
              </w:rPr>
            </w:pPr>
            <w:r>
              <w:rPr>
                <w:rFonts w:ascii="Arial" w:cs="Arial" w:eastAsia="Arial" w:hAnsi="Arial"/>
                <w:sz w:val="14"/>
                <w:szCs w:val="14"/>
                <w:color w:val="auto"/>
              </w:rPr>
              <w:t>Net interest income/(expense)</w:t>
            </w:r>
          </w:p>
        </w:tc>
        <w:tc>
          <w:tcPr>
            <w:tcW w:w="3560" w:type="dxa"/>
            <w:vAlign w:val="bottom"/>
            <w:gridSpan w:val="2"/>
          </w:tcPr>
          <w:p>
            <w:pPr>
              <w:jc w:val="right"/>
              <w:spacing w:after="0"/>
              <w:rPr>
                <w:sz w:val="20"/>
                <w:szCs w:val="20"/>
                <w:color w:val="auto"/>
              </w:rPr>
            </w:pPr>
            <w:r>
              <w:rPr>
                <w:rFonts w:ascii="Arial" w:cs="Arial" w:eastAsia="Arial" w:hAnsi="Arial"/>
                <w:sz w:val="14"/>
                <w:szCs w:val="14"/>
                <w:color w:val="auto"/>
              </w:rPr>
              <w:t>276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(693)</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145</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174"/>
        </w:trPr>
        <w:tc>
          <w:tcPr>
            <w:tcW w:w="3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before provision for income taxes</w:t>
            </w:r>
          </w:p>
        </w:tc>
        <w:tc>
          <w:tcPr>
            <w:tcW w:w="3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29,716</w:t>
            </w:r>
          </w:p>
        </w:tc>
        <w:tc>
          <w:tcPr>
            <w:tcW w:w="36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70,226</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4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(5,765)</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(5,255)</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174"/>
        </w:trPr>
        <w:tc>
          <w:tcPr>
            <w:tcW w:w="3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22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40" w:type="dxa"/>
            <w:vAlign w:val="bottom"/>
            <w:vMerge w:val="continue"/>
          </w:tcPr>
          <w:p>
            <w:pPr>
              <w:spacing w:after="0"/>
              <w:rPr>
                <w:sz w:val="24"/>
                <w:szCs w:val="24"/>
                <w:color w:val="auto"/>
              </w:rPr>
            </w:pP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19,899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23,951</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64,971</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67,652</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2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4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40" w:type="dxa"/>
            <w:vAlign w:val="bottom"/>
          </w:tcPr>
          <w:p>
            <w:pPr>
              <w:ind w:left="120"/>
              <w:spacing w:after="0"/>
              <w:rPr>
                <w:sz w:val="20"/>
                <w:szCs w:val="20"/>
                <w:color w:val="auto"/>
              </w:rPr>
            </w:pPr>
            <w:r>
              <w:rPr>
                <w:rFonts w:ascii="Arial" w:cs="Arial" w:eastAsia="Arial" w:hAnsi="Arial"/>
                <w:sz w:val="14"/>
                <w:szCs w:val="14"/>
                <w:color w:val="auto"/>
              </w:rPr>
              <w:t>Basic</w:t>
            </w:r>
          </w:p>
        </w:tc>
        <w:tc>
          <w:tcPr>
            <w:tcW w:w="22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$0.41</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$1.09</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40" w:type="dxa"/>
            <w:vAlign w:val="bottom"/>
          </w:tcPr>
          <w:p>
            <w:pPr>
              <w:ind w:left="120"/>
              <w:spacing w:after="0"/>
              <w:rPr>
                <w:sz w:val="20"/>
                <w:szCs w:val="20"/>
                <w:color w:val="auto"/>
              </w:rPr>
            </w:pPr>
            <w:r>
              <w:rPr>
                <w:rFonts w:ascii="Arial" w:cs="Arial" w:eastAsia="Arial" w:hAnsi="Arial"/>
                <w:sz w:val="14"/>
                <w:szCs w:val="14"/>
                <w:color w:val="auto"/>
              </w:rPr>
              <w:t>Diluted</w:t>
            </w:r>
          </w:p>
        </w:tc>
        <w:tc>
          <w:tcPr>
            <w:tcW w:w="224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$0.40</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$1.07</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339"/>
        </w:trPr>
        <w:tc>
          <w:tcPr>
            <w:tcW w:w="3040" w:type="dxa"/>
            <w:vAlign w:val="bottom"/>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22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40" w:type="dxa"/>
            <w:vAlign w:val="bottom"/>
          </w:tcPr>
          <w:p>
            <w:pPr>
              <w:ind w:left="120"/>
              <w:spacing w:after="0"/>
              <w:rPr>
                <w:sz w:val="20"/>
                <w:szCs w:val="20"/>
                <w:color w:val="auto"/>
              </w:rPr>
            </w:pPr>
            <w:r>
              <w:rPr>
                <w:rFonts w:ascii="Arial" w:cs="Arial" w:eastAsia="Arial" w:hAnsi="Arial"/>
                <w:sz w:val="14"/>
                <w:szCs w:val="14"/>
                <w:color w:val="auto"/>
              </w:rPr>
              <w:t>Basic</w:t>
            </w:r>
          </w:p>
        </w:tc>
        <w:tc>
          <w:tcPr>
            <w:tcW w:w="3560" w:type="dxa"/>
            <w:vAlign w:val="bottom"/>
            <w:gridSpan w:val="2"/>
          </w:tcPr>
          <w:p>
            <w:pPr>
              <w:jc w:val="right"/>
              <w:spacing w:after="0"/>
              <w:rPr>
                <w:sz w:val="20"/>
                <w:szCs w:val="20"/>
                <w:color w:val="auto"/>
              </w:rPr>
            </w:pPr>
            <w:r>
              <w:rPr>
                <w:rFonts w:ascii="Arial" w:cs="Arial" w:eastAsia="Arial" w:hAnsi="Arial"/>
                <w:sz w:val="14"/>
                <w:szCs w:val="14"/>
                <w:color w:val="auto"/>
              </w:rPr>
              <w:t>59,940,045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58,624,028</w:t>
            </w:r>
          </w:p>
        </w:tc>
        <w:tc>
          <w:tcPr>
            <w:tcW w:w="36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59,576,777</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58,579,402</w:t>
            </w:r>
          </w:p>
        </w:tc>
        <w:tc>
          <w:tcPr>
            <w:tcW w:w="0" w:type="dxa"/>
            <w:vAlign w:val="bottom"/>
          </w:tcPr>
          <w:p>
            <w:pPr>
              <w:spacing w:after="0"/>
              <w:rPr>
                <w:sz w:val="1"/>
                <w:szCs w:val="1"/>
                <w:color w:val="auto"/>
              </w:rPr>
            </w:pPr>
          </w:p>
        </w:tc>
      </w:tr>
      <w:tr>
        <w:trPr>
          <w:trHeight w:val="351"/>
        </w:trPr>
        <w:tc>
          <w:tcPr>
            <w:tcW w:w="30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560" w:type="dxa"/>
            <w:vAlign w:val="bottom"/>
            <w:gridSpan w:val="2"/>
          </w:tcPr>
          <w:p>
            <w:pPr>
              <w:jc w:val="right"/>
              <w:spacing w:after="0"/>
              <w:rPr>
                <w:sz w:val="20"/>
                <w:szCs w:val="20"/>
                <w:color w:val="auto"/>
              </w:rPr>
            </w:pPr>
            <w:r>
              <w:rPr>
                <w:rFonts w:ascii="Arial" w:cs="Arial" w:eastAsia="Arial" w:hAnsi="Arial"/>
                <w:sz w:val="14"/>
                <w:szCs w:val="14"/>
                <w:color w:val="auto"/>
              </w:rPr>
              <w:t>60,743,403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59,953,574</w:t>
            </w:r>
          </w:p>
        </w:tc>
        <w:tc>
          <w:tcPr>
            <w:tcW w:w="360" w:type="dxa"/>
            <w:vAlign w:val="bottom"/>
          </w:tcPr>
          <w:p>
            <w:pPr>
              <w:spacing w:after="0"/>
              <w:rPr>
                <w:sz w:val="24"/>
                <w:szCs w:val="2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60,576,058</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59,781,092</w:t>
            </w:r>
          </w:p>
        </w:tc>
        <w:tc>
          <w:tcPr>
            <w:tcW w:w="0" w:type="dxa"/>
            <w:vAlign w:val="bottom"/>
          </w:tcPr>
          <w:p>
            <w:pPr>
              <w:spacing w:after="0"/>
              <w:rPr>
                <w:sz w:val="1"/>
                <w:szCs w:val="1"/>
                <w:color w:val="auto"/>
              </w:rPr>
            </w:pPr>
          </w:p>
        </w:tc>
      </w:tr>
      <w:tr>
        <w:trPr>
          <w:trHeight w:val="134"/>
        </w:trPr>
        <w:tc>
          <w:tcPr>
            <w:tcW w:w="304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4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rPr>
              <w:t>ICON plc</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60" w:type="dxa"/>
            <w:vAlign w:val="bottom"/>
          </w:tcPr>
          <w:p>
            <w:pPr>
              <w:spacing w:after="0"/>
              <w:rPr>
                <w:sz w:val="24"/>
                <w:szCs w:val="24"/>
                <w:color w:val="auto"/>
              </w:rPr>
            </w:pPr>
          </w:p>
        </w:tc>
        <w:tc>
          <w:tcPr>
            <w:tcW w:w="5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60" w:type="dxa"/>
            <w:vAlign w:val="bottom"/>
          </w:tcPr>
          <w:p>
            <w:pPr>
              <w:spacing w:after="0"/>
              <w:rPr>
                <w:sz w:val="24"/>
                <w:szCs w:val="24"/>
                <w:color w:val="auto"/>
              </w:rPr>
            </w:pPr>
          </w:p>
        </w:tc>
        <w:tc>
          <w:tcPr>
            <w:tcW w:w="5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Three and Nine Months ended September 30, 2010 and September 30, 2009</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5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gridSpan w:val="4"/>
          </w:tcPr>
          <w:p>
            <w:pPr>
              <w:ind w:left="740"/>
              <w:spacing w:after="0"/>
              <w:rPr>
                <w:sz w:val="20"/>
                <w:szCs w:val="20"/>
                <w:color w:val="auto"/>
              </w:rPr>
            </w:pPr>
            <w:r>
              <w:rPr>
                <w:rFonts w:ascii="Arial" w:cs="Arial" w:eastAsia="Arial" w:hAnsi="Arial"/>
                <w:sz w:val="14"/>
                <w:szCs w:val="14"/>
                <w:b w:val="1"/>
                <w:bCs w:val="1"/>
                <w:color w:val="auto"/>
                <w:w w:val="95"/>
              </w:rPr>
              <w:t>Three Months Ended</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3"/>
          </w:tcPr>
          <w:p>
            <w:pPr>
              <w:ind w:left="800"/>
              <w:spacing w:after="0"/>
              <w:rPr>
                <w:sz w:val="20"/>
                <w:szCs w:val="20"/>
                <w:color w:val="auto"/>
              </w:rPr>
            </w:pPr>
            <w:r>
              <w:rPr>
                <w:rFonts w:ascii="Arial" w:cs="Arial" w:eastAsia="Arial" w:hAnsi="Arial"/>
                <w:sz w:val="14"/>
                <w:szCs w:val="14"/>
                <w:b w:val="1"/>
                <w:bCs w:val="1"/>
                <w:color w:val="auto"/>
                <w:w w:val="97"/>
              </w:rPr>
              <w:t>Nine Months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8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rPr>
              <w:t>September</w:t>
            </w: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September</w:t>
            </w:r>
          </w:p>
        </w:tc>
        <w:tc>
          <w:tcPr>
            <w:tcW w:w="210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rPr>
              <w:t>September</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September</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3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51"/>
        </w:trPr>
        <w:tc>
          <w:tcPr>
            <w:tcW w:w="306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323,230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317,179</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945,868</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936,686</w:t>
            </w:r>
          </w:p>
        </w:tc>
        <w:tc>
          <w:tcPr>
            <w:tcW w:w="0" w:type="dxa"/>
            <w:vAlign w:val="bottom"/>
          </w:tcPr>
          <w:p>
            <w:pPr>
              <w:spacing w:after="0"/>
              <w:rPr>
                <w:sz w:val="1"/>
                <w:szCs w:val="1"/>
                <w:color w:val="auto"/>
              </w:rPr>
            </w:pPr>
          </w:p>
        </w:tc>
      </w:tr>
      <w:tr>
        <w:trPr>
          <w:trHeight w:val="351"/>
        </w:trPr>
        <w:tc>
          <w:tcPr>
            <w:tcW w:w="3060" w:type="dxa"/>
            <w:vAlign w:val="bottom"/>
          </w:tcPr>
          <w:p>
            <w:pPr>
              <w:ind w:left="120"/>
              <w:spacing w:after="0"/>
              <w:rPr>
                <w:sz w:val="20"/>
                <w:szCs w:val="20"/>
                <w:color w:val="auto"/>
              </w:rPr>
            </w:pPr>
            <w:r>
              <w:rPr>
                <w:rFonts w:ascii="Arial" w:cs="Arial" w:eastAsia="Arial" w:hAnsi="Arial"/>
                <w:sz w:val="14"/>
                <w:szCs w:val="14"/>
                <w:color w:val="auto"/>
              </w:rPr>
              <w:t>Reimbursable expenses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98,135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96,818</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277,910</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276,493</w:t>
            </w:r>
          </w:p>
        </w:tc>
        <w:tc>
          <w:tcPr>
            <w:tcW w:w="0" w:type="dxa"/>
            <w:vAlign w:val="bottom"/>
          </w:tcPr>
          <w:p>
            <w:pPr>
              <w:spacing w:after="0"/>
              <w:rPr>
                <w:sz w:val="1"/>
                <w:szCs w:val="1"/>
                <w:color w:val="auto"/>
              </w:rPr>
            </w:pPr>
          </w:p>
        </w:tc>
      </w:tr>
      <w:tr>
        <w:trPr>
          <w:trHeight w:val="174"/>
        </w:trPr>
        <w:tc>
          <w:tcPr>
            <w:tcW w:w="3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35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225,095</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220,361</w:t>
            </w:r>
          </w:p>
        </w:tc>
        <w:tc>
          <w:tcPr>
            <w:tcW w:w="3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667,958</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660,193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6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139,460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127,179</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401,647</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376,493</w:t>
            </w: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60,008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54,369</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171,225</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173,637</w:t>
            </w: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8,404</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25,005</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23,420</w:t>
            </w:r>
          </w:p>
        </w:tc>
        <w:tc>
          <w:tcPr>
            <w:tcW w:w="0" w:type="dxa"/>
            <w:vAlign w:val="bottom"/>
          </w:tcPr>
          <w:p>
            <w:pPr>
              <w:spacing w:after="0"/>
              <w:rPr>
                <w:sz w:val="1"/>
                <w:szCs w:val="1"/>
                <w:color w:val="auto"/>
              </w:rPr>
            </w:pPr>
          </w:p>
        </w:tc>
      </w:tr>
      <w:tr>
        <w:trPr>
          <w:trHeight w:val="181"/>
        </w:trPr>
        <w:tc>
          <w:tcPr>
            <w:tcW w:w="3060" w:type="dxa"/>
            <w:vAlign w:val="bottom"/>
          </w:tcPr>
          <w:p>
            <w:pPr>
              <w:ind w:left="120"/>
              <w:spacing w:after="0"/>
              <w:rPr>
                <w:sz w:val="20"/>
                <w:szCs w:val="20"/>
                <w:color w:val="auto"/>
              </w:rPr>
            </w:pPr>
            <w:r>
              <w:rPr>
                <w:rFonts w:ascii="Arial" w:cs="Arial" w:eastAsia="Arial" w:hAnsi="Arial"/>
                <w:sz w:val="14"/>
                <w:szCs w:val="14"/>
                <w:color w:val="auto"/>
              </w:rPr>
              <w:t>One time net charges</w:t>
            </w:r>
          </w:p>
        </w:tc>
        <w:tc>
          <w:tcPr>
            <w:tcW w:w="2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176"/>
        </w:trPr>
        <w:tc>
          <w:tcPr>
            <w:tcW w:w="3060" w:type="dxa"/>
            <w:vAlign w:val="bottom"/>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222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207,470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189,952</w:t>
            </w:r>
          </w:p>
        </w:tc>
        <w:tc>
          <w:tcPr>
            <w:tcW w:w="3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597,877</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582,491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6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17,625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30,409</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70,081</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77,702</w:t>
            </w:r>
          </w:p>
        </w:tc>
        <w:tc>
          <w:tcPr>
            <w:tcW w:w="0" w:type="dxa"/>
            <w:vAlign w:val="bottom"/>
          </w:tcPr>
          <w:p>
            <w:pPr>
              <w:spacing w:after="0"/>
              <w:rPr>
                <w:sz w:val="1"/>
                <w:szCs w:val="1"/>
                <w:color w:val="auto"/>
              </w:rPr>
            </w:pPr>
          </w:p>
        </w:tc>
      </w:tr>
      <w:tr>
        <w:trPr>
          <w:trHeight w:val="351"/>
        </w:trPr>
        <w:tc>
          <w:tcPr>
            <w:tcW w:w="3060" w:type="dxa"/>
            <w:vAlign w:val="bottom"/>
          </w:tcPr>
          <w:p>
            <w:pPr>
              <w:ind w:left="120"/>
              <w:spacing w:after="0"/>
              <w:rPr>
                <w:sz w:val="20"/>
                <w:szCs w:val="20"/>
                <w:color w:val="auto"/>
              </w:rPr>
            </w:pPr>
            <w:r>
              <w:rPr>
                <w:rFonts w:ascii="Arial" w:cs="Arial" w:eastAsia="Arial" w:hAnsi="Arial"/>
                <w:sz w:val="14"/>
                <w:szCs w:val="14"/>
                <w:color w:val="auto"/>
              </w:rPr>
              <w:t>Net interest income/(expense)</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(693)</w:t>
            </w:r>
          </w:p>
        </w:tc>
        <w:tc>
          <w:tcPr>
            <w:tcW w:w="134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174"/>
        </w:trPr>
        <w:tc>
          <w:tcPr>
            <w:tcW w:w="3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before provision for income taxes</w:t>
            </w:r>
          </w:p>
        </w:tc>
        <w:tc>
          <w:tcPr>
            <w:tcW w:w="35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4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17,901</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29,716</w:t>
            </w:r>
          </w:p>
        </w:tc>
        <w:tc>
          <w:tcPr>
            <w:tcW w:w="360" w:type="dxa"/>
            <w:vAlign w:val="bottom"/>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70,226</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6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(5,765)</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(5,255)</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(11,973)</w:t>
            </w:r>
          </w:p>
        </w:tc>
        <w:tc>
          <w:tcPr>
            <w:tcW w:w="0" w:type="dxa"/>
            <w:vAlign w:val="bottom"/>
          </w:tcPr>
          <w:p>
            <w:pPr>
              <w:spacing w:after="0"/>
              <w:rPr>
                <w:sz w:val="1"/>
                <w:szCs w:val="1"/>
                <w:color w:val="auto"/>
              </w:rPr>
            </w:pPr>
          </w:p>
        </w:tc>
      </w:tr>
      <w:tr>
        <w:trPr>
          <w:trHeight w:val="174"/>
        </w:trPr>
        <w:tc>
          <w:tcPr>
            <w:tcW w:w="30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2220" w:type="dxa"/>
            <w:vAlign w:val="bottom"/>
          </w:tcPr>
          <w:p>
            <w:pPr>
              <w:spacing w:after="0"/>
              <w:rPr>
                <w:sz w:val="15"/>
                <w:szCs w:val="15"/>
                <w:color w:val="auto"/>
              </w:rPr>
            </w:pPr>
          </w:p>
        </w:tc>
        <w:tc>
          <w:tcPr>
            <w:tcW w:w="1360" w:type="dxa"/>
            <w:vAlign w:val="bottom"/>
            <w:tcBorders>
              <w:bottom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60" w:type="dxa"/>
            <w:vAlign w:val="bottom"/>
            <w:vMerge w:val="continue"/>
          </w:tcPr>
          <w:p>
            <w:pPr>
              <w:spacing w:after="0"/>
              <w:rPr>
                <w:sz w:val="24"/>
                <w:szCs w:val="24"/>
                <w:color w:val="auto"/>
              </w:rPr>
            </w:pP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19,899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23,951</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64,971</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63,425</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2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6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60" w:type="dxa"/>
            <w:vAlign w:val="bottom"/>
          </w:tcPr>
          <w:p>
            <w:pPr>
              <w:ind w:left="120"/>
              <w:spacing w:after="0"/>
              <w:rPr>
                <w:sz w:val="20"/>
                <w:szCs w:val="20"/>
                <w:color w:val="auto"/>
              </w:rPr>
            </w:pPr>
            <w:r>
              <w:rPr>
                <w:rFonts w:ascii="Arial" w:cs="Arial" w:eastAsia="Arial" w:hAnsi="Arial"/>
                <w:sz w:val="14"/>
                <w:szCs w:val="14"/>
                <w:color w:val="auto"/>
              </w:rPr>
              <w:t>Basic</w:t>
            </w:r>
          </w:p>
        </w:tc>
        <w:tc>
          <w:tcPr>
            <w:tcW w:w="22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$0.41</w:t>
            </w:r>
          </w:p>
        </w:tc>
        <w:tc>
          <w:tcPr>
            <w:tcW w:w="3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$1.09</w:t>
            </w: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22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$0.40</w:t>
            </w:r>
          </w:p>
        </w:tc>
        <w:tc>
          <w:tcPr>
            <w:tcW w:w="360" w:type="dxa"/>
            <w:vAlign w:val="bottom"/>
          </w:tcPr>
          <w:p>
            <w:pPr>
              <w:spacing w:after="0"/>
              <w:rPr>
                <w:sz w:val="24"/>
                <w:szCs w:val="2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$1.07</w:t>
            </w: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39"/>
        </w:trPr>
        <w:tc>
          <w:tcPr>
            <w:tcW w:w="3060" w:type="dxa"/>
            <w:vAlign w:val="bottom"/>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22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20"/>
              <w:spacing w:after="0"/>
              <w:rPr>
                <w:sz w:val="20"/>
                <w:szCs w:val="20"/>
                <w:color w:val="auto"/>
              </w:rPr>
            </w:pPr>
            <w:r>
              <w:rPr>
                <w:rFonts w:ascii="Arial" w:cs="Arial" w:eastAsia="Arial" w:hAnsi="Arial"/>
                <w:sz w:val="14"/>
                <w:szCs w:val="14"/>
                <w:color w:val="auto"/>
              </w:rPr>
              <w:t>Basic</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59,940,045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58,624,028</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59,576,777</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58,579,402</w:t>
            </w:r>
          </w:p>
        </w:tc>
        <w:tc>
          <w:tcPr>
            <w:tcW w:w="0" w:type="dxa"/>
            <w:vAlign w:val="bottom"/>
          </w:tcPr>
          <w:p>
            <w:pPr>
              <w:spacing w:after="0"/>
              <w:rPr>
                <w:sz w:val="1"/>
                <w:szCs w:val="1"/>
                <w:color w:val="auto"/>
              </w:rPr>
            </w:pPr>
          </w:p>
        </w:tc>
      </w:tr>
      <w:tr>
        <w:trPr>
          <w:trHeight w:val="351"/>
        </w:trPr>
        <w:tc>
          <w:tcPr>
            <w:tcW w:w="30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60,743,403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59,953,574</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60,576,058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59,781,092</w:t>
            </w:r>
          </w:p>
        </w:tc>
        <w:tc>
          <w:tcPr>
            <w:tcW w:w="0" w:type="dxa"/>
            <w:vAlign w:val="bottom"/>
          </w:tcPr>
          <w:p>
            <w:pPr>
              <w:spacing w:after="0"/>
              <w:rPr>
                <w:sz w:val="1"/>
                <w:szCs w:val="1"/>
                <w:color w:val="auto"/>
              </w:rPr>
            </w:pPr>
          </w:p>
        </w:tc>
      </w:tr>
      <w:tr>
        <w:trPr>
          <w:trHeight w:val="134"/>
        </w:trPr>
        <w:tc>
          <w:tcPr>
            <w:tcW w:w="3060" w:type="dxa"/>
            <w:vAlign w:val="bottom"/>
            <w:tcBorders>
              <w:bottom w:val="single" w:sz="8" w:color="9A9A9A"/>
            </w:tcBorders>
          </w:tcPr>
          <w:p>
            <w:pPr>
              <w:spacing w:after="0"/>
              <w:rPr>
                <w:sz w:val="11"/>
                <w:szCs w:val="11"/>
                <w:color w:val="auto"/>
              </w:rPr>
            </w:pPr>
          </w:p>
        </w:tc>
        <w:tc>
          <w:tcPr>
            <w:tcW w:w="22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6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2010 and December 31, 2009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7400" w:type="dxa"/>
            <w:vAlign w:val="bottom"/>
          </w:tcPr>
          <w:p>
            <w:pPr>
              <w:jc w:val="right"/>
              <w:ind w:right="728"/>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2220" w:type="dxa"/>
            <w:vAlign w:val="bottom"/>
          </w:tcPr>
          <w:p>
            <w:pPr>
              <w:spacing w:after="0"/>
              <w:rPr>
                <w:sz w:val="15"/>
                <w:szCs w:val="15"/>
                <w:color w:val="auto"/>
              </w:rPr>
            </w:pPr>
          </w:p>
        </w:tc>
        <w:tc>
          <w:tcPr>
            <w:tcW w:w="7400" w:type="dxa"/>
            <w:vAlign w:val="bottom"/>
          </w:tcPr>
          <w:p>
            <w:pPr>
              <w:jc w:val="right"/>
              <w:ind w:right="708"/>
              <w:spacing w:after="0"/>
              <w:rPr>
                <w:sz w:val="20"/>
                <w:szCs w:val="20"/>
                <w:color w:val="auto"/>
              </w:rPr>
            </w:pPr>
            <w:r>
              <w:rPr>
                <w:rFonts w:ascii="Arial" w:cs="Arial" w:eastAsia="Arial" w:hAnsi="Arial"/>
                <w:sz w:val="14"/>
                <w:szCs w:val="14"/>
                <w:b w:val="1"/>
                <w:bCs w:val="1"/>
                <w:color w:val="auto"/>
              </w:rPr>
              <w:t>2010</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r>
      <w:tr>
        <w:trPr>
          <w:trHeight w:val="186"/>
        </w:trPr>
        <w:tc>
          <w:tcPr>
            <w:tcW w:w="2220" w:type="dxa"/>
            <w:vAlign w:val="bottom"/>
          </w:tcPr>
          <w:p>
            <w:pPr>
              <w:spacing w:after="0"/>
              <w:rPr>
                <w:sz w:val="16"/>
                <w:szCs w:val="16"/>
                <w:color w:val="auto"/>
              </w:rPr>
            </w:pPr>
          </w:p>
        </w:tc>
        <w:tc>
          <w:tcPr>
            <w:tcW w:w="7400" w:type="dxa"/>
            <w:vAlign w:val="bottom"/>
          </w:tcPr>
          <w:p>
            <w:pPr>
              <w:jc w:val="right"/>
              <w:ind w:right="728"/>
              <w:spacing w:after="0"/>
              <w:rPr>
                <w:sz w:val="20"/>
                <w:szCs w:val="20"/>
                <w:color w:val="auto"/>
              </w:rPr>
            </w:pPr>
            <w:r>
              <w:rPr>
                <w:rFonts w:ascii="Arial" w:cs="Arial" w:eastAsia="Arial" w:hAnsi="Arial"/>
                <w:sz w:val="14"/>
                <w:szCs w:val="14"/>
                <w:b w:val="1"/>
                <w:bCs w:val="1"/>
                <w:color w:val="auto"/>
              </w:rPr>
              <w:t>(Unaudited)</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527"/>
        </w:trPr>
        <w:tc>
          <w:tcPr>
            <w:tcW w:w="2220" w:type="dxa"/>
            <w:vAlign w:val="bottom"/>
          </w:tcPr>
          <w:p>
            <w:pPr>
              <w:spacing w:after="0"/>
              <w:rPr>
                <w:sz w:val="20"/>
                <w:szCs w:val="20"/>
                <w:color w:val="auto"/>
              </w:rPr>
            </w:pPr>
            <w:r>
              <w:rPr>
                <w:rFonts w:ascii="Arial" w:cs="Arial" w:eastAsia="Arial" w:hAnsi="Arial"/>
                <w:sz w:val="14"/>
                <w:szCs w:val="14"/>
                <w:color w:val="auto"/>
              </w:rPr>
              <w:t>Net cash</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231,289</w:t>
            </w:r>
          </w:p>
        </w:tc>
        <w:tc>
          <w:tcPr>
            <w:tcW w:w="1640" w:type="dxa"/>
            <w:vAlign w:val="bottom"/>
          </w:tcPr>
          <w:p>
            <w:pPr>
              <w:jc w:val="right"/>
              <w:spacing w:after="0"/>
              <w:rPr>
                <w:sz w:val="20"/>
                <w:szCs w:val="20"/>
                <w:color w:val="auto"/>
              </w:rPr>
            </w:pPr>
            <w:r>
              <w:rPr>
                <w:rFonts w:ascii="Arial" w:cs="Arial" w:eastAsia="Arial" w:hAnsi="Arial"/>
                <w:sz w:val="14"/>
                <w:szCs w:val="14"/>
                <w:color w:val="auto"/>
              </w:rPr>
              <w:t>194,028</w:t>
            </w:r>
          </w:p>
        </w:tc>
      </w:tr>
      <w:tr>
        <w:trPr>
          <w:trHeight w:val="344"/>
        </w:trPr>
        <w:tc>
          <w:tcPr>
            <w:tcW w:w="2220" w:type="dxa"/>
            <w:vAlign w:val="bottom"/>
          </w:tcPr>
          <w:p>
            <w:pPr>
              <w:spacing w:after="0"/>
              <w:rPr>
                <w:sz w:val="20"/>
                <w:szCs w:val="20"/>
                <w:color w:val="auto"/>
              </w:rPr>
            </w:pPr>
            <w:r>
              <w:rPr>
                <w:rFonts w:ascii="Arial" w:cs="Arial" w:eastAsia="Arial" w:hAnsi="Arial"/>
                <w:sz w:val="14"/>
                <w:szCs w:val="14"/>
                <w:color w:val="auto"/>
              </w:rPr>
              <w:t>Accounts receivable</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174,375</w:t>
            </w:r>
          </w:p>
        </w:tc>
        <w:tc>
          <w:tcPr>
            <w:tcW w:w="1640" w:type="dxa"/>
            <w:vAlign w:val="bottom"/>
          </w:tcPr>
          <w:p>
            <w:pPr>
              <w:jc w:val="right"/>
              <w:spacing w:after="0"/>
              <w:rPr>
                <w:sz w:val="20"/>
                <w:szCs w:val="20"/>
                <w:color w:val="auto"/>
              </w:rPr>
            </w:pPr>
            <w:r>
              <w:rPr>
                <w:rFonts w:ascii="Arial" w:cs="Arial" w:eastAsia="Arial" w:hAnsi="Arial"/>
                <w:sz w:val="14"/>
                <w:szCs w:val="14"/>
                <w:color w:val="auto"/>
              </w:rPr>
              <w:t>191,924</w:t>
            </w:r>
          </w:p>
        </w:tc>
      </w:tr>
      <w:tr>
        <w:trPr>
          <w:trHeight w:val="176"/>
        </w:trPr>
        <w:tc>
          <w:tcPr>
            <w:tcW w:w="2220" w:type="dxa"/>
            <w:vAlign w:val="bottom"/>
          </w:tcPr>
          <w:p>
            <w:pPr>
              <w:spacing w:after="0"/>
              <w:rPr>
                <w:sz w:val="20"/>
                <w:szCs w:val="20"/>
                <w:color w:val="auto"/>
              </w:rPr>
            </w:pPr>
            <w:r>
              <w:rPr>
                <w:rFonts w:ascii="Arial" w:cs="Arial" w:eastAsia="Arial" w:hAnsi="Arial"/>
                <w:sz w:val="14"/>
                <w:szCs w:val="14"/>
                <w:color w:val="auto"/>
              </w:rPr>
              <w:t>Unbilled revenue</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97,218</w:t>
            </w:r>
          </w:p>
        </w:tc>
        <w:tc>
          <w:tcPr>
            <w:tcW w:w="1640" w:type="dxa"/>
            <w:vAlign w:val="bottom"/>
          </w:tcPr>
          <w:p>
            <w:pPr>
              <w:jc w:val="right"/>
              <w:spacing w:after="0"/>
              <w:rPr>
                <w:sz w:val="20"/>
                <w:szCs w:val="20"/>
                <w:color w:val="auto"/>
              </w:rPr>
            </w:pPr>
            <w:r>
              <w:rPr>
                <w:rFonts w:ascii="Arial" w:cs="Arial" w:eastAsia="Arial" w:hAnsi="Arial"/>
                <w:sz w:val="14"/>
                <w:szCs w:val="14"/>
                <w:color w:val="auto"/>
              </w:rPr>
              <w:t>92,080</w:t>
            </w:r>
          </w:p>
        </w:tc>
      </w:tr>
      <w:tr>
        <w:trPr>
          <w:trHeight w:val="176"/>
        </w:trPr>
        <w:tc>
          <w:tcPr>
            <w:tcW w:w="2220" w:type="dxa"/>
            <w:vAlign w:val="bottom"/>
          </w:tcPr>
          <w:p>
            <w:pPr>
              <w:spacing w:after="0"/>
              <w:rPr>
                <w:sz w:val="20"/>
                <w:szCs w:val="20"/>
                <w:color w:val="auto"/>
              </w:rPr>
            </w:pPr>
            <w:r>
              <w:rPr>
                <w:rFonts w:ascii="Arial" w:cs="Arial" w:eastAsia="Arial" w:hAnsi="Arial"/>
                <w:sz w:val="14"/>
                <w:szCs w:val="14"/>
                <w:color w:val="auto"/>
              </w:rPr>
              <w:t>Payments on account</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(143,583)</w:t>
            </w:r>
          </w:p>
        </w:tc>
        <w:tc>
          <w:tcPr>
            <w:tcW w:w="1640" w:type="dxa"/>
            <w:vAlign w:val="bottom"/>
          </w:tcPr>
          <w:p>
            <w:pPr>
              <w:jc w:val="right"/>
              <w:spacing w:after="0"/>
              <w:rPr>
                <w:sz w:val="20"/>
                <w:szCs w:val="20"/>
                <w:color w:val="auto"/>
              </w:rPr>
            </w:pPr>
            <w:r>
              <w:rPr>
                <w:rFonts w:ascii="Arial" w:cs="Arial" w:eastAsia="Arial" w:hAnsi="Arial"/>
                <w:sz w:val="14"/>
                <w:szCs w:val="14"/>
                <w:color w:val="auto"/>
              </w:rPr>
              <w:t>(165,198)</w:t>
            </w:r>
          </w:p>
        </w:tc>
      </w:tr>
      <w:tr>
        <w:trPr>
          <w:trHeight w:val="182"/>
        </w:trPr>
        <w:tc>
          <w:tcPr>
            <w:tcW w:w="2220" w:type="dxa"/>
            <w:vAlign w:val="bottom"/>
          </w:tcPr>
          <w:p>
            <w:pPr>
              <w:spacing w:after="0"/>
              <w:rPr>
                <w:sz w:val="20"/>
                <w:szCs w:val="20"/>
                <w:color w:val="auto"/>
              </w:rPr>
            </w:pPr>
            <w:r>
              <w:rPr>
                <w:rFonts w:ascii="Arial" w:cs="Arial" w:eastAsia="Arial" w:hAnsi="Arial"/>
                <w:sz w:val="14"/>
                <w:szCs w:val="14"/>
                <w:color w:val="auto"/>
              </w:rPr>
              <w:t>Total</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128,010</w:t>
            </w:r>
          </w:p>
        </w:tc>
        <w:tc>
          <w:tcPr>
            <w:tcW w:w="1640" w:type="dxa"/>
            <w:vAlign w:val="bottom"/>
          </w:tcPr>
          <w:p>
            <w:pPr>
              <w:jc w:val="right"/>
              <w:spacing w:after="0"/>
              <w:rPr>
                <w:sz w:val="20"/>
                <w:szCs w:val="20"/>
                <w:color w:val="auto"/>
              </w:rPr>
            </w:pPr>
            <w:r>
              <w:rPr>
                <w:rFonts w:ascii="Arial" w:cs="Arial" w:eastAsia="Arial" w:hAnsi="Arial"/>
                <w:sz w:val="14"/>
                <w:szCs w:val="14"/>
                <w:color w:val="auto"/>
              </w:rPr>
              <w:t>118,806</w:t>
            </w:r>
          </w:p>
        </w:tc>
      </w:tr>
      <w:tr>
        <w:trPr>
          <w:trHeight w:val="351"/>
        </w:trPr>
        <w:tc>
          <w:tcPr>
            <w:tcW w:w="2220" w:type="dxa"/>
            <w:vAlign w:val="bottom"/>
          </w:tcPr>
          <w:p>
            <w:pPr>
              <w:spacing w:after="0"/>
              <w:rPr>
                <w:sz w:val="20"/>
                <w:szCs w:val="20"/>
                <w:color w:val="auto"/>
              </w:rPr>
            </w:pPr>
            <w:r>
              <w:rPr>
                <w:rFonts w:ascii="Arial" w:cs="Arial" w:eastAsia="Arial" w:hAnsi="Arial"/>
                <w:sz w:val="14"/>
                <w:szCs w:val="14"/>
                <w:color w:val="auto"/>
              </w:rPr>
              <w:t>Working Capital</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306,478</w:t>
            </w:r>
          </w:p>
        </w:tc>
        <w:tc>
          <w:tcPr>
            <w:tcW w:w="1640" w:type="dxa"/>
            <w:vAlign w:val="bottom"/>
          </w:tcPr>
          <w:p>
            <w:pPr>
              <w:jc w:val="right"/>
              <w:spacing w:after="0"/>
              <w:rPr>
                <w:sz w:val="20"/>
                <w:szCs w:val="20"/>
                <w:color w:val="auto"/>
              </w:rPr>
            </w:pPr>
            <w:r>
              <w:rPr>
                <w:rFonts w:ascii="Arial" w:cs="Arial" w:eastAsia="Arial" w:hAnsi="Arial"/>
                <w:sz w:val="14"/>
                <w:szCs w:val="14"/>
                <w:color w:val="auto"/>
              </w:rPr>
              <w:t>235,906</w:t>
            </w:r>
          </w:p>
        </w:tc>
      </w:tr>
      <w:tr>
        <w:trPr>
          <w:trHeight w:val="351"/>
        </w:trPr>
        <w:tc>
          <w:tcPr>
            <w:tcW w:w="2220" w:type="dxa"/>
            <w:vAlign w:val="bottom"/>
          </w:tcPr>
          <w:p>
            <w:pPr>
              <w:spacing w:after="0"/>
              <w:rPr>
                <w:sz w:val="20"/>
                <w:szCs w:val="20"/>
                <w:color w:val="auto"/>
              </w:rPr>
            </w:pPr>
            <w:r>
              <w:rPr>
                <w:rFonts w:ascii="Arial" w:cs="Arial" w:eastAsia="Arial" w:hAnsi="Arial"/>
                <w:sz w:val="14"/>
                <w:szCs w:val="14"/>
                <w:color w:val="auto"/>
              </w:rPr>
              <w:t>Total Assets</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937,857</w:t>
            </w:r>
          </w:p>
        </w:tc>
        <w:tc>
          <w:tcPr>
            <w:tcW w:w="1640" w:type="dxa"/>
            <w:vAlign w:val="bottom"/>
          </w:tcPr>
          <w:p>
            <w:pPr>
              <w:jc w:val="right"/>
              <w:spacing w:after="0"/>
              <w:rPr>
                <w:sz w:val="20"/>
                <w:szCs w:val="20"/>
                <w:color w:val="auto"/>
              </w:rPr>
            </w:pPr>
            <w:r>
              <w:rPr>
                <w:rFonts w:ascii="Arial" w:cs="Arial" w:eastAsia="Arial" w:hAnsi="Arial"/>
                <w:sz w:val="14"/>
                <w:szCs w:val="14"/>
                <w:color w:val="auto"/>
              </w:rPr>
              <w:t>908,398</w:t>
            </w:r>
          </w:p>
        </w:tc>
      </w:tr>
      <w:tr>
        <w:trPr>
          <w:trHeight w:val="351"/>
        </w:trPr>
        <w:tc>
          <w:tcPr>
            <w:tcW w:w="2220" w:type="dxa"/>
            <w:vAlign w:val="bottom"/>
          </w:tcPr>
          <w:p>
            <w:pPr>
              <w:spacing w:after="0"/>
              <w:rPr>
                <w:sz w:val="20"/>
                <w:szCs w:val="20"/>
                <w:color w:val="auto"/>
              </w:rPr>
            </w:pPr>
            <w:r>
              <w:rPr>
                <w:rFonts w:ascii="Arial" w:cs="Arial" w:eastAsia="Arial" w:hAnsi="Arial"/>
                <w:sz w:val="14"/>
                <w:szCs w:val="14"/>
                <w:color w:val="auto"/>
              </w:rPr>
              <w:t>Shareholder's Equity</w:t>
            </w:r>
          </w:p>
        </w:tc>
        <w:tc>
          <w:tcPr>
            <w:tcW w:w="7400" w:type="dxa"/>
            <w:vAlign w:val="bottom"/>
          </w:tcPr>
          <w:p>
            <w:pPr>
              <w:jc w:val="right"/>
              <w:ind w:right="708"/>
              <w:spacing w:after="0"/>
              <w:rPr>
                <w:sz w:val="20"/>
                <w:szCs w:val="20"/>
                <w:color w:val="auto"/>
              </w:rPr>
            </w:pPr>
            <w:r>
              <w:rPr>
                <w:rFonts w:ascii="Arial" w:cs="Arial" w:eastAsia="Arial" w:hAnsi="Arial"/>
                <w:sz w:val="14"/>
                <w:szCs w:val="14"/>
                <w:color w:val="auto"/>
              </w:rPr>
              <w:t>647,163</w:t>
            </w:r>
          </w:p>
        </w:tc>
        <w:tc>
          <w:tcPr>
            <w:tcW w:w="1640" w:type="dxa"/>
            <w:vAlign w:val="bottom"/>
          </w:tcPr>
          <w:p>
            <w:pPr>
              <w:jc w:val="right"/>
              <w:spacing w:after="0"/>
              <w:rPr>
                <w:sz w:val="20"/>
                <w:szCs w:val="20"/>
                <w:color w:val="auto"/>
              </w:rPr>
            </w:pPr>
            <w:r>
              <w:rPr>
                <w:rFonts w:ascii="Arial" w:cs="Arial" w:eastAsia="Arial" w:hAnsi="Arial"/>
                <w:sz w:val="14"/>
                <w:szCs w:val="14"/>
                <w:color w:val="auto"/>
              </w:rPr>
              <w:t>572,246</w:t>
            </w:r>
          </w:p>
        </w:tc>
      </w:tr>
      <w:tr>
        <w:trPr>
          <w:trHeight w:val="527"/>
        </w:trPr>
        <w:tc>
          <w:tcPr>
            <w:tcW w:w="222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7400" w:type="dxa"/>
            <w:vAlign w:val="bottom"/>
          </w:tcPr>
          <w:p>
            <w:pPr>
              <w:ind w:left="980"/>
              <w:spacing w:after="0"/>
              <w:rPr>
                <w:sz w:val="20"/>
                <w:szCs w:val="20"/>
                <w:color w:val="auto"/>
              </w:rPr>
            </w:pPr>
            <w:r>
              <w:rPr>
                <w:rFonts w:ascii="Arial" w:cs="Arial" w:eastAsia="Arial" w:hAnsi="Arial"/>
                <w:sz w:val="14"/>
                <w:szCs w:val="14"/>
                <w:color w:val="auto"/>
              </w:rPr>
              <w:t>ICON plc</w:t>
            </w:r>
          </w:p>
        </w:tc>
        <w:tc>
          <w:tcPr>
            <w:tcW w:w="1640" w:type="dxa"/>
            <w:vAlign w:val="bottom"/>
          </w:tcPr>
          <w:p>
            <w:pPr>
              <w:spacing w:after="0"/>
              <w:rPr>
                <w:sz w:val="24"/>
                <w:szCs w:val="24"/>
                <w:color w:val="auto"/>
              </w:rPr>
            </w:pPr>
          </w:p>
        </w:tc>
      </w:tr>
      <w:tr>
        <w:trPr>
          <w:trHeight w:val="344"/>
        </w:trPr>
        <w:tc>
          <w:tcPr>
            <w:tcW w:w="222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7400" w:type="dxa"/>
            <w:vAlign w:val="bottom"/>
          </w:tcPr>
          <w:p>
            <w:pPr>
              <w:ind w:left="980"/>
              <w:spacing w:after="0"/>
              <w:rPr>
                <w:sz w:val="20"/>
                <w:szCs w:val="20"/>
                <w:color w:val="auto"/>
              </w:rPr>
            </w:pPr>
            <w:r>
              <w:rPr>
                <w:rFonts w:ascii="Arial" w:cs="Arial" w:eastAsia="Arial" w:hAnsi="Arial"/>
                <w:sz w:val="14"/>
                <w:szCs w:val="14"/>
                <w:color w:val="auto"/>
              </w:rPr>
              <w:t>Investor Relations 1-888-381-7923 or</w:t>
            </w:r>
          </w:p>
        </w:tc>
        <w:tc>
          <w:tcPr>
            <w:tcW w:w="1640" w:type="dxa"/>
            <w:vAlign w:val="bottom"/>
          </w:tcPr>
          <w:p>
            <w:pPr>
              <w:spacing w:after="0"/>
              <w:rPr>
                <w:sz w:val="24"/>
                <w:szCs w:val="24"/>
                <w:color w:val="auto"/>
              </w:rPr>
            </w:pPr>
          </w:p>
        </w:tc>
      </w:tr>
      <w:tr>
        <w:trPr>
          <w:trHeight w:val="182"/>
        </w:trPr>
        <w:tc>
          <w:tcPr>
            <w:tcW w:w="2220" w:type="dxa"/>
            <w:vAlign w:val="bottom"/>
          </w:tcPr>
          <w:p>
            <w:pPr>
              <w:spacing w:after="0"/>
              <w:rPr>
                <w:sz w:val="15"/>
                <w:szCs w:val="15"/>
                <w:color w:val="auto"/>
              </w:rPr>
            </w:pPr>
          </w:p>
        </w:tc>
        <w:tc>
          <w:tcPr>
            <w:tcW w:w="7400" w:type="dxa"/>
            <w:vAlign w:val="bottom"/>
          </w:tcPr>
          <w:p>
            <w:pPr>
              <w:ind w:left="980"/>
              <w:spacing w:after="0"/>
              <w:rPr>
                <w:sz w:val="20"/>
                <w:szCs w:val="20"/>
                <w:color w:val="auto"/>
              </w:rPr>
            </w:pPr>
            <w:r>
              <w:rPr>
                <w:rFonts w:ascii="Arial" w:cs="Arial" w:eastAsia="Arial" w:hAnsi="Arial"/>
                <w:sz w:val="14"/>
                <w:szCs w:val="14"/>
                <w:color w:val="auto"/>
              </w:rPr>
              <w:t>Ciaran Murray CFO + 353 1 291 2000</w:t>
            </w:r>
          </w:p>
        </w:tc>
        <w:tc>
          <w:tcPr>
            <w:tcW w:w="1640" w:type="dxa"/>
            <w:vAlign w:val="bottom"/>
          </w:tcPr>
          <w:p>
            <w:pPr>
              <w:spacing w:after="0"/>
              <w:rPr>
                <w:sz w:val="15"/>
                <w:szCs w:val="15"/>
                <w:color w:val="auto"/>
              </w:rPr>
            </w:pPr>
          </w:p>
        </w:tc>
      </w:tr>
    </w:tbl>
    <w:p>
      <w:pPr>
        <w:ind w:left="3200"/>
        <w:spacing w:after="0" w:line="229" w:lineRule="auto"/>
        <w:rPr>
          <w:sz w:val="20"/>
          <w:szCs w:val="20"/>
          <w:color w:val="auto"/>
        </w:rPr>
      </w:pPr>
      <w:r>
        <w:rPr>
          <w:rFonts w:ascii="Arial" w:cs="Arial" w:eastAsia="Arial" w:hAnsi="Arial"/>
          <w:sz w:val="14"/>
          <w:szCs w:val="14"/>
          <w:color w:val="auto"/>
        </w:rPr>
        <w:t>Brendan Brennan VP Corp Fin+353 12912000</w:t>
      </w:r>
    </w:p>
    <w:p>
      <w:pPr>
        <w:ind w:left="3200"/>
        <w:spacing w:after="0"/>
        <w:rPr>
          <w:sz w:val="20"/>
          <w:szCs w:val="20"/>
          <w:color w:val="auto"/>
        </w:rPr>
      </w:pPr>
      <w:r>
        <w:rPr>
          <w:rFonts w:ascii="Arial" w:cs="Arial" w:eastAsia="Arial" w:hAnsi="Arial"/>
          <w:sz w:val="14"/>
          <w:szCs w:val="14"/>
          <w:color w:val="auto"/>
        </w:rPr>
        <w:t>All at ICON.</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4"/>
          <w:szCs w:val="14"/>
          <w:u w:val="single" w:color="auto"/>
          <w:color w:val="auto"/>
        </w:rPr>
        <w:t>http://www.iconplc.com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Ciaran Murray Chief Financial Officer</w:t>
      </w:r>
    </w:p>
    <w:p>
      <w:pPr>
        <w:spacing w:after="0" w:line="1" w:lineRule="exact"/>
        <w:rPr>
          <w:sz w:val="20"/>
          <w:szCs w:val="20"/>
          <w:color w:val="auto"/>
        </w:rPr>
      </w:pPr>
    </w:p>
    <w:p>
      <w:pPr>
        <w:ind w:right="958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VP Corp Finance</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260"/>
      </w:cols>
      <w:pgMar w:left="240" w:top="30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2019-12-10T16:19:52Z</dcterms:created>
  <dcterms:modified xsi:type="dcterms:W3CDTF">2019-12-10T16:19:52Z</dcterms:modified>
</cp:coreProperties>
</file>