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t>FORM 6-K</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April, 2017</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25"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2017 we had approximately 12,328 employees, in 87 locations in 38 countries. During the three months ended March 31, 2017 we derived approximately 46.7%, 41.8% and 11.5%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 and executive leadership transition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 2017, Mr. Ciaran Murray transitioned from his role as Chief Executive Officer to the role of Executive Chairman of the Board of Directors. On this date, Dr. Steve Cutler was appointed as Chief Executive Officer. As a part of this transition, Mr. Declan McKeon stepped down as Chairman of the Board of Directors and was appointed to the position of lead independent 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15, 2016, a subsidiary of the Company, ICON US Holdings Inc. acquired Clinical Research Management, Inc. (“ClinicalRM”) which resulted in initial net cash outflows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resolution was passed at the Company’s Annual General Meeting (“AGM”) on July 22, 2016 which authorizes the Directors to purchase (buyback) up to 10% of the outstanding shares in the Company. On October 3, 2016, the Company commenced the share buyback program of up to $400 million. At December 31, 2016 a total of 1,429,187 ordinary shares were redeemed by the Company under the buyback program for a total consideration of $110.0 million. At March 31, 2017 a total of 2,650,916 ordinary shares were redeemed by the Company under this buyback program for a total consideration of $206.4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Accounting Standards Update (‘ASU’) 2016-09 ‘Improvements to Employee Share-Based Payment Accounting’ was issued in March 2016 which simplifies various aspects related to the accounting and presentation of share-based payments. The amendments require entities to record all tax effects related to share-based payments at settlement or expiration through the income statement and the windfall tax benefit to be recorded when it arises, subject to normal valuation allowance considerations. All tax-related cash flows resulting from share-based payments are required to be reported as operating activities in the statement of cash flows. The effective date of the new standard for public companies is for fiscal years beginning after December 15, 2016 and interim periods within those fiscal years. The Company has applied the modified retrospective approach, as required by the amendment to the standard, in determining the cumulative increase in retained earnings at January 1, 2017. This resulted in the recognition of previously unrecognized excess tax benefits, as a credit to retained earnings, of $6.7 million. The Company has adopted the cash flow presentation prospectively.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MARCH 31, 2017 AND DECEMBER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0"/>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Pr>
          <w:p>
            <w:pPr>
              <w:spacing w:after="0"/>
              <w:rPr>
                <w:sz w:val="19"/>
                <w:szCs w:val="19"/>
                <w:color w:val="auto"/>
              </w:rPr>
            </w:pPr>
          </w:p>
        </w:tc>
        <w:tc>
          <w:tcPr>
            <w:tcW w:w="28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237,299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81,667</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340,540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226,152</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35,800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Prepayments and other current assets</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37,760</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1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22,988</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982,206</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957,958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Assets:</w:t>
            </w: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148,644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617,813</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9,975</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29,929</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w:t>
            </w: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52,248</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1,855,215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1,825,843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13,591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266,704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213,611</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190,727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1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21,638</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515,544</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Non-current bank credit lines and loan facilities</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348,604</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liabilities</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24,821</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Non-current government grants</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890</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income taxes payable</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16,457</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Non-current deferred tax liability</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4,390</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Commitments and contingencies</w:t>
            </w:r>
          </w:p>
        </w:tc>
        <w:tc>
          <w:tcPr>
            <w:tcW w:w="1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Total Liabilities</w:t>
            </w: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910,706</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40" w:type="dxa"/>
            <w:vAlign w:val="bottom"/>
          </w:tcPr>
          <w:p>
            <w:pPr>
              <w:ind w:left="320"/>
              <w:spacing w:after="0" w:line="201" w:lineRule="exact"/>
              <w:rPr>
                <w:sz w:val="20"/>
                <w:szCs w:val="20"/>
                <w:color w:val="auto"/>
              </w:rPr>
            </w:pPr>
            <w:r>
              <w:rPr>
                <w:rFonts w:ascii="Arial" w:cs="Arial" w:eastAsia="Arial" w:hAnsi="Arial"/>
                <w:sz w:val="18"/>
                <w:szCs w:val="18"/>
                <w:color w:val="auto"/>
              </w:rPr>
              <w:t>Ordinary shares, par value 6 euro cents per share; 100,000,000 shares authorized,</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53,775,703 shares issued and outstanding at March 31, 2017 and</w:t>
            </w: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54,530,843 shares issued and outstanding at December 31, 2016</w:t>
            </w:r>
          </w:p>
        </w:tc>
        <w:tc>
          <w:tcPr>
            <w:tcW w:w="136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4,644</w:t>
            </w:r>
          </w:p>
        </w:tc>
        <w:tc>
          <w:tcPr>
            <w:tcW w:w="28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449,678</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Other undenominated capital</w:t>
            </w:r>
          </w:p>
        </w:tc>
        <w:tc>
          <w:tcPr>
            <w:tcW w:w="136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(80,152)</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Retained earnings</w:t>
            </w: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569,452</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587,847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944,509</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945,174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Shareholders' Equity</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1,855,215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1,825,843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MARCH 31, 2016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80" w:type="dxa"/>
            <w:vAlign w:val="bottom"/>
            <w:gridSpan w:val="11"/>
          </w:tcPr>
          <w:p>
            <w:pPr>
              <w:jc w:val="center"/>
              <w:ind w:right="300"/>
              <w:spacing w:after="0"/>
              <w:rPr>
                <w:sz w:val="20"/>
                <w:szCs w:val="20"/>
                <w:color w:val="auto"/>
              </w:rPr>
            </w:pPr>
            <w:r>
              <w:rPr>
                <w:rFonts w:ascii="Arial" w:cs="Arial" w:eastAsia="Arial" w:hAnsi="Arial"/>
                <w:sz w:val="18"/>
                <w:szCs w:val="18"/>
                <w:b w:val="1"/>
                <w:bCs w:val="1"/>
                <w:color w:val="auto"/>
                <w:w w:val="88"/>
              </w:rPr>
              <w:t>(in thousands except share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1"/>
              </w:rPr>
              <w:t>per share data)</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revenue</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578,066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542,583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Reimbursable expenses</w:t>
            </w:r>
          </w:p>
        </w:tc>
        <w:tc>
          <w:tcPr>
            <w:tcW w:w="2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(146,112)</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(142,061)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Net revenue</w:t>
            </w:r>
          </w:p>
        </w:tc>
        <w:tc>
          <w:tcPr>
            <w:tcW w:w="22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431,954</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400,522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Costs and expenses:</w:t>
            </w: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costs</w:t>
            </w:r>
          </w:p>
        </w:tc>
        <w:tc>
          <w:tcPr>
            <w:tcW w:w="22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250,459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240" w:type="dxa"/>
            <w:vAlign w:val="bottom"/>
          </w:tcPr>
          <w:p>
            <w:pPr>
              <w:spacing w:after="0"/>
              <w:rPr>
                <w:sz w:val="18"/>
                <w:szCs w:val="18"/>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8"/>
                <w:szCs w:val="18"/>
                <w:color w:val="auto"/>
              </w:rPr>
              <w:t>81,389</w:t>
            </w:r>
          </w:p>
        </w:tc>
        <w:tc>
          <w:tcPr>
            <w:tcW w:w="58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80,789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14,448</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346,296</w:t>
            </w: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324,512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85,658</w:t>
            </w:r>
          </w:p>
        </w:tc>
        <w:tc>
          <w:tcPr>
            <w:tcW w:w="5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income</w:t>
            </w:r>
          </w:p>
        </w:tc>
        <w:tc>
          <w:tcPr>
            <w:tcW w:w="2240" w:type="dxa"/>
            <w:vAlign w:val="bottom"/>
          </w:tcPr>
          <w:p>
            <w:pPr>
              <w:spacing w:after="0"/>
              <w:rPr>
                <w:sz w:val="18"/>
                <w:szCs w:val="18"/>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8"/>
                <w:szCs w:val="18"/>
                <w:color w:val="auto"/>
              </w:rPr>
              <w:t>555</w:t>
            </w:r>
          </w:p>
        </w:tc>
        <w:tc>
          <w:tcPr>
            <w:tcW w:w="58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(3,179)</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83,034</w:t>
            </w:r>
          </w:p>
        </w:tc>
        <w:tc>
          <w:tcPr>
            <w:tcW w:w="5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73,129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(11,625)</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71,409</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62,964</w:t>
            </w:r>
          </w:p>
        </w:tc>
        <w:tc>
          <w:tcPr>
            <w:tcW w:w="0" w:type="dxa"/>
            <w:vAlign w:val="bottom"/>
          </w:tcPr>
          <w:p>
            <w:pPr>
              <w:spacing w:after="0"/>
              <w:rPr>
                <w:sz w:val="1"/>
                <w:szCs w:val="1"/>
                <w:color w:val="auto"/>
              </w:rPr>
            </w:pPr>
          </w:p>
        </w:tc>
      </w:tr>
      <w:tr>
        <w:trPr>
          <w:trHeight w:val="21"/>
        </w:trPr>
        <w:tc>
          <w:tcPr>
            <w:tcW w:w="6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1.31</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1.29</w:t>
            </w:r>
          </w:p>
        </w:tc>
        <w:tc>
          <w:tcPr>
            <w:tcW w:w="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
        </w:trPr>
        <w:tc>
          <w:tcPr>
            <w:tcW w:w="63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2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2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54,372,931</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w w:val="93"/>
              </w:rPr>
              <w:t>55,011,019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2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55,371,826</w:t>
            </w: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w w:val="93"/>
              </w:rPr>
              <w:t>56,242,164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MARCH 31, 2016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7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23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71,409</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62,964</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10,018</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10,161</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4,430</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4,959</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Amortization of government grants</w:t>
            </w:r>
          </w:p>
        </w:tc>
        <w:tc>
          <w:tcPr>
            <w:tcW w:w="1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on short term investments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8,809</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9,591</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gain on interest rate hedge</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Amortization of financing costs</w:t>
            </w: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accounts receivable</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76,478</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47,407</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Increase in unbilled revenue</w:t>
            </w:r>
          </w:p>
        </w:tc>
        <w:tc>
          <w:tcPr>
            <w:tcW w:w="1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(32,944)</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(64,516)</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receivables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(Increase)/decrease in prepayments and other current assets</w:t>
            </w:r>
          </w:p>
        </w:tc>
        <w:tc>
          <w:tcPr>
            <w:tcW w:w="1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(2,522)</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1,586</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assets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Decrease in payments on account</w:t>
            </w:r>
          </w:p>
        </w:tc>
        <w:tc>
          <w:tcPr>
            <w:tcW w:w="1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(6,115)</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other current liabilities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22,568</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1,082</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1,520</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income taxes payable</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8,839</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8,626</w:t>
            </w: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Increase/(decrease) in accounts payable</w:t>
            </w:r>
          </w:p>
        </w:tc>
        <w:tc>
          <w:tcPr>
            <w:tcW w:w="1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4,848</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159,327</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59,320</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1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(17,977)</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16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4,675</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(21,600)</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(7,598)</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Proceeds from exercise of equity compensation</w:t>
            </w: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2,780</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1,137</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issue costs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8"/>
                <w:szCs w:val="18"/>
                <w:color w:val="auto"/>
              </w:rPr>
              <w:t>Excess tax benefit on exercise of equity compensation</w:t>
            </w:r>
          </w:p>
        </w:tc>
        <w:tc>
          <w:tcPr>
            <w:tcW w:w="160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4,241</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(96,404)</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 repurchase costs</w:t>
            </w:r>
          </w:p>
        </w:tc>
        <w:tc>
          <w:tcPr>
            <w:tcW w:w="1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(93,708)</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5,378</w:t>
            </w:r>
          </w:p>
        </w:tc>
      </w:tr>
      <w:tr>
        <w:trPr>
          <w:trHeight w:val="223"/>
        </w:trPr>
        <w:tc>
          <w:tcPr>
            <w:tcW w:w="20" w:type="dxa"/>
            <w:vAlign w:val="bottom"/>
            <w:tcBorders>
              <w:bottom w:val="single" w:sz="8" w:color="auto"/>
            </w:tcBorders>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1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739</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6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44,758</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57,426</w:t>
            </w:r>
          </w:p>
        </w:tc>
      </w:tr>
      <w:tr>
        <w:trPr>
          <w:trHeight w:val="223"/>
        </w:trPr>
        <w:tc>
          <w:tcPr>
            <w:tcW w:w="20" w:type="dxa"/>
            <w:vAlign w:val="bottom"/>
            <w:tcBorders>
              <w:bottom w:val="single" w:sz="8" w:color="auto"/>
            </w:tcBorders>
          </w:tcPr>
          <w:p>
            <w:pPr>
              <w:spacing w:after="0"/>
              <w:rPr>
                <w:sz w:val="19"/>
                <w:szCs w:val="19"/>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192,541</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103,911</w:t>
            </w:r>
          </w:p>
        </w:tc>
      </w:tr>
      <w:tr>
        <w:trPr>
          <w:trHeight w:val="257"/>
        </w:trPr>
        <w:tc>
          <w:tcPr>
            <w:tcW w:w="20" w:type="dxa"/>
            <w:vAlign w:val="bottom"/>
          </w:tcPr>
          <w:p>
            <w:pPr>
              <w:spacing w:after="0"/>
              <w:rPr>
                <w:sz w:val="22"/>
                <w:szCs w:val="22"/>
                <w:color w:val="auto"/>
              </w:rPr>
            </w:pPr>
          </w:p>
        </w:tc>
        <w:tc>
          <w:tcPr>
            <w:tcW w:w="7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237,299</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161,337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8"/>
              </w:rPr>
              <w:t>Accumulated</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90"/>
              </w:rPr>
              <w:t>Additional</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9"/>
              </w:rPr>
              <w:t>Paid-in</w:t>
            </w:r>
          </w:p>
        </w:tc>
        <w:tc>
          <w:tcPr>
            <w:tcW w:w="60" w:type="dxa"/>
            <w:vAlign w:val="bottom"/>
          </w:tcPr>
          <w:p>
            <w:pPr>
              <w:spacing w:after="0"/>
              <w:rPr>
                <w:sz w:val="17"/>
                <w:szCs w:val="17"/>
                <w:color w:val="auto"/>
              </w:rPr>
            </w:pPr>
          </w:p>
        </w:tc>
        <w:tc>
          <w:tcPr>
            <w:tcW w:w="1300" w:type="dxa"/>
            <w:vAlign w:val="bottom"/>
            <w:gridSpan w:val="4"/>
          </w:tcPr>
          <w:p>
            <w:pPr>
              <w:jc w:val="right"/>
              <w:ind w:right="60"/>
              <w:spacing w:after="0" w:line="196" w:lineRule="exact"/>
              <w:rPr>
                <w:sz w:val="20"/>
                <w:szCs w:val="20"/>
                <w:color w:val="auto"/>
              </w:rPr>
            </w:pPr>
            <w:r>
              <w:rPr>
                <w:rFonts w:ascii="Arial" w:cs="Arial" w:eastAsia="Arial" w:hAnsi="Arial"/>
                <w:sz w:val="18"/>
                <w:szCs w:val="18"/>
                <w:b w:val="1"/>
                <w:bCs w:val="1"/>
                <w:color w:val="auto"/>
                <w:w w:val="89"/>
              </w:rPr>
              <w:t>Undenominated</w:t>
            </w:r>
          </w:p>
        </w:tc>
        <w:tc>
          <w:tcPr>
            <w:tcW w:w="100" w:type="dxa"/>
            <w:vAlign w:val="bottom"/>
          </w:tcPr>
          <w:p>
            <w:pPr>
              <w:spacing w:after="0"/>
              <w:rPr>
                <w:sz w:val="17"/>
                <w:szCs w:val="17"/>
                <w:color w:val="auto"/>
              </w:rPr>
            </w:pPr>
          </w:p>
        </w:tc>
        <w:tc>
          <w:tcPr>
            <w:tcW w:w="130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w w:val="85"/>
              </w:rPr>
              <w:t>Comprehensive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w w:val="89"/>
              </w:rPr>
              <w:t>Retained</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3"/>
              </w:rPr>
              <w:t>Shares</w:t>
            </w:r>
          </w:p>
        </w:tc>
        <w:tc>
          <w:tcPr>
            <w:tcW w:w="440" w:type="dxa"/>
            <w:vAlign w:val="bottom"/>
          </w:tcPr>
          <w:p>
            <w:pPr>
              <w:spacing w:after="0"/>
              <w:rPr>
                <w:sz w:val="17"/>
                <w:szCs w:val="17"/>
                <w:color w:val="auto"/>
              </w:rPr>
            </w:pP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9"/>
              </w:rPr>
              <w:t>Capital</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gridSpan w:val="3"/>
          </w:tcPr>
          <w:p>
            <w:pPr>
              <w:jc w:val="right"/>
              <w:ind w:right="60"/>
              <w:spacing w:after="0" w:line="196" w:lineRule="exact"/>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85"/>
              </w:rPr>
              <w:t>Income</w:t>
            </w:r>
          </w:p>
        </w:tc>
        <w:tc>
          <w:tcPr>
            <w:tcW w:w="280" w:type="dxa"/>
            <w:vAlign w:val="bottom"/>
          </w:tcPr>
          <w:p>
            <w:pPr>
              <w:spacing w:after="0"/>
              <w:rPr>
                <w:sz w:val="17"/>
                <w:szCs w:val="17"/>
                <w:color w:val="auto"/>
              </w:rPr>
            </w:pPr>
          </w:p>
        </w:tc>
        <w:tc>
          <w:tcPr>
            <w:tcW w:w="920" w:type="dxa"/>
            <w:vAlign w:val="bottom"/>
            <w:gridSpan w:val="3"/>
          </w:tcPr>
          <w:p>
            <w:pPr>
              <w:jc w:val="right"/>
              <w:ind w:right="80"/>
              <w:spacing w:after="0" w:line="196" w:lineRule="exact"/>
              <w:rPr>
                <w:sz w:val="20"/>
                <w:szCs w:val="20"/>
                <w:color w:val="auto"/>
              </w:rPr>
            </w:pPr>
            <w:r>
              <w:rPr>
                <w:rFonts w:ascii="Arial" w:cs="Arial" w:eastAsia="Arial" w:hAnsi="Arial"/>
                <w:sz w:val="18"/>
                <w:szCs w:val="18"/>
                <w:b w:val="1"/>
                <w:bCs w:val="1"/>
                <w:color w:val="auto"/>
              </w:rPr>
              <w:t>Earnings</w:t>
            </w:r>
          </w:p>
        </w:tc>
        <w:tc>
          <w:tcPr>
            <w:tcW w:w="340" w:type="dxa"/>
            <w:vAlign w:val="bottom"/>
          </w:tcPr>
          <w:p>
            <w:pPr>
              <w:spacing w:after="0"/>
              <w:rPr>
                <w:sz w:val="17"/>
                <w:szCs w:val="17"/>
                <w:color w:val="auto"/>
              </w:rPr>
            </w:pPr>
          </w:p>
        </w:tc>
        <w:tc>
          <w:tcPr>
            <w:tcW w:w="9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gridSpan w:val="19"/>
          </w:tcPr>
          <w:p>
            <w:pPr>
              <w:jc w:val="right"/>
              <w:ind w:right="1000"/>
              <w:spacing w:after="0"/>
              <w:rPr>
                <w:sz w:val="20"/>
                <w:szCs w:val="20"/>
                <w:color w:val="auto"/>
              </w:rPr>
            </w:pPr>
            <w:r>
              <w:rPr>
                <w:rFonts w:ascii="Arial" w:cs="Arial" w:eastAsia="Arial" w:hAnsi="Arial"/>
                <w:sz w:val="18"/>
                <w:szCs w:val="18"/>
                <w:b w:val="1"/>
                <w:bCs w:val="1"/>
                <w:color w:val="auto"/>
              </w:rPr>
              <w:t>(dollars in thousands, except share data)</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54,530,843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438,126</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(86,300)</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587,847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945,174</w:t>
            </w:r>
          </w:p>
        </w:tc>
        <w:tc>
          <w:tcPr>
            <w:tcW w:w="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71,409</w:t>
            </w:r>
          </w:p>
        </w:tc>
        <w:tc>
          <w:tcPr>
            <w:tcW w:w="34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71,409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4,275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Currency impact of long term</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5"/>
          </w:tcPr>
          <w:p>
            <w:pPr>
              <w:jc w:val="right"/>
              <w:ind w:right="120"/>
              <w:spacing w:after="0"/>
              <w:rPr>
                <w:sz w:val="20"/>
                <w:szCs w:val="20"/>
                <w:color w:val="auto"/>
              </w:rPr>
            </w:pPr>
            <w:r>
              <w:rPr>
                <w:rFonts w:ascii="Arial" w:cs="Arial" w:eastAsia="Arial" w:hAnsi="Arial"/>
                <w:sz w:val="18"/>
                <w:szCs w:val="18"/>
                <w:color w:val="auto"/>
              </w:rPr>
              <w:t>1,962</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Tax on currency impact of long term</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funding</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Unrealized capital gain –</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6,148</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71,409</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345,379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Non-cash stock compensation</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8,809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program</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(1,221,729)</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(96,404)</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Share repurchase costs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adjustment from</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adoption of ASU 2016-09</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6,677</w:t>
            </w: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2017</w:t>
            </w:r>
          </w:p>
        </w:tc>
        <w:tc>
          <w:tcPr>
            <w:tcW w:w="10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53,775,703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449,678</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gridSpan w:val="2"/>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(80,152)</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569,452</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944,509</w:t>
            </w:r>
          </w:p>
        </w:tc>
        <w:tc>
          <w:tcPr>
            <w:tcW w:w="1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2016. Operating results for the three months ended March 31, 2017 are not necessarily indicative of the results that may be expected for the fiscal period ending December 31, 2017.</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Goodwill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Three months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2"/>
              </w:rPr>
              <w:t>ended</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1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616,088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acquisitions (Note 3)</w:t>
            </w:r>
          </w:p>
        </w:tc>
        <w:tc>
          <w:tcPr>
            <w:tcW w:w="442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 (Note 3)</w:t>
            </w:r>
          </w:p>
        </w:tc>
        <w:tc>
          <w:tcPr>
            <w:tcW w:w="442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Closing balance</w:t>
            </w:r>
          </w:p>
        </w:tc>
        <w:tc>
          <w:tcPr>
            <w:tcW w:w="4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617,813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616,088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20" w:type="dxa"/>
            <w:vAlign w:val="bottom"/>
          </w:tcPr>
          <w:p>
            <w:pPr>
              <w:jc w:val="right"/>
              <w:ind w:right="27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4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3. Business Combinations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Clinical Research Management, Inc.</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15, 2016, a subsidiary of the Company, ICON US Holdings Inc. acquired ClinicalRM resulting in an initial net cash outflow of $52.4 million inclusive of certain payments made on behalf of ClinicalRM totaling $9.2 million.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and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December 31, 2017. The fair value of the deferred consideration on acquisition and at March 31, 2017 has been estimated at $6 million.</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acquisition of ClinicalRM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September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7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Unbilled revenue</w:t>
            </w:r>
          </w:p>
        </w:tc>
        <w:tc>
          <w:tcPr>
            <w:tcW w:w="27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Accounts payable</w:t>
            </w:r>
          </w:p>
        </w:tc>
        <w:tc>
          <w:tcPr>
            <w:tcW w:w="2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2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58,396</w:t>
            </w:r>
          </w:p>
        </w:tc>
        <w:tc>
          <w:tcPr>
            <w:tcW w:w="0" w:type="dxa"/>
            <w:vAlign w:val="bottom"/>
          </w:tcPr>
          <w:p>
            <w:pPr>
              <w:spacing w:after="0"/>
              <w:rPr>
                <w:sz w:val="1"/>
                <w:szCs w:val="1"/>
                <w:color w:val="auto"/>
              </w:rPr>
            </w:pPr>
          </w:p>
        </w:tc>
      </w:tr>
      <w:tr>
        <w:trPr>
          <w:trHeight w:val="21"/>
        </w:trPr>
        <w:tc>
          <w:tcPr>
            <w:tcW w:w="73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outflows (including other liabilities assumed of $9.2 million)</w:t>
            </w: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cash outflows</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has made an initial estimate of separate intangible assets acquired of $8.6 million, being customer relationships and order book assets. This assessment is under review and will be finalized within 12 months of the date of acquisition.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i w:val="1"/>
          <w:iCs w:val="1"/>
          <w:color w:val="auto"/>
        </w:rPr>
        <w:t>Acquisitions - PMG</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4, 2015, a subsidiary of the Company, ICON Clinical Research LLC. acquired PMG for total cash outflows of $65.4 million, including certain payments made on behalf of PMG totaling $10.1 million. PMG is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PMG has been accounted for as a business combination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table following summarizes the fair values of the assets acquired and liabilities assumed: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8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Customer lists</w:t>
            </w:r>
          </w:p>
        </w:tc>
        <w:tc>
          <w:tcPr>
            <w:tcW w:w="38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38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Accounts receivable</w:t>
            </w:r>
          </w:p>
        </w:tc>
        <w:tc>
          <w:tcPr>
            <w:tcW w:w="38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Accounts payable</w:t>
            </w:r>
          </w:p>
        </w:tc>
        <w:tc>
          <w:tcPr>
            <w:tcW w:w="38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deferred tax liability</w:t>
            </w:r>
          </w:p>
        </w:tc>
        <w:tc>
          <w:tcPr>
            <w:tcW w:w="3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3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65,354</w:t>
            </w:r>
          </w:p>
        </w:tc>
        <w:tc>
          <w:tcPr>
            <w:tcW w:w="0" w:type="dxa"/>
            <w:vAlign w:val="bottom"/>
          </w:tcPr>
          <w:p>
            <w:pPr>
              <w:spacing w:after="0"/>
              <w:rPr>
                <w:sz w:val="1"/>
                <w:szCs w:val="1"/>
                <w:color w:val="auto"/>
              </w:rPr>
            </w:pPr>
          </w:p>
        </w:tc>
      </w:tr>
      <w:tr>
        <w:trPr>
          <w:trHeight w:val="21"/>
        </w:trPr>
        <w:tc>
          <w:tcPr>
            <w:tcW w:w="630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consideration</w:t>
            </w:r>
          </w:p>
        </w:tc>
        <w:tc>
          <w:tcPr>
            <w:tcW w:w="3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38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cash outflows</w:t>
            </w:r>
          </w:p>
        </w:tc>
        <w:tc>
          <w:tcPr>
            <w:tcW w:w="3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65,354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In finalizing the goodwill on acquisition of PMG in the twelve month period from acquisition, fair value adjustments were made to deferred tax liabilities ($3.1 million), accounts receivable acquired ($1.4 million), other liabilities ($1.2 million) and the value of the customer list and order backlog assets acquired ($0.4 million). Additional consideration of $1.6 million was provided on completion of the contractual working capital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Acquisitions - MediMedia Pharma Solutions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27, 2015, a subsidary of the Company, ICON Holdings Unlimited Company (formerly ICON Holdings), acquired MediMedia Pharma Solutions for cash consideration of $104.8 million (net of working capital adjustments of $3.9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provided for certain working capital targets to be achieved by MediMedia Pharma Solutions.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acquisition of MediMedia Pharma Solutions has been accounted for as a business combination in accordance with FASB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table following summarizes the fair values of the assets acquired and liabilities assumed on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3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Order backlog</w:t>
            </w:r>
          </w:p>
        </w:tc>
        <w:tc>
          <w:tcPr>
            <w:tcW w:w="38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Accounts payable</w:t>
            </w:r>
          </w:p>
        </w:tc>
        <w:tc>
          <w:tcPr>
            <w:tcW w:w="3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 assumed**</w:t>
            </w:r>
          </w:p>
        </w:tc>
        <w:tc>
          <w:tcPr>
            <w:tcW w:w="3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cash outflows</w:t>
            </w:r>
          </w:p>
        </w:tc>
        <w:tc>
          <w:tcPr>
            <w:tcW w:w="38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outflows</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116,002</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8"/>
        <w:spacing w:after="0" w:line="246" w:lineRule="auto"/>
        <w:tabs>
          <w:tab w:leader="none" w:pos="192" w:val="left"/>
        </w:tabs>
        <w:numPr>
          <w:ilvl w:val="0"/>
          <w:numId w:val="1"/>
        </w:numPr>
        <w:rPr>
          <w:rFonts w:ascii="Arial" w:cs="Arial" w:eastAsia="Arial" w:hAnsi="Arial"/>
          <w:sz w:val="21"/>
          <w:szCs w:val="21"/>
          <w:color w:val="auto"/>
        </w:rPr>
      </w:pPr>
      <w:r>
        <w:rPr>
          <w:rFonts w:ascii="Arial" w:cs="Arial" w:eastAsia="Arial" w:hAnsi="Arial"/>
          <w:sz w:val="21"/>
          <w:szCs w:val="21"/>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 Goodwill related to the US portion of the business is tax deductible.</w:t>
      </w:r>
    </w:p>
    <w:p>
      <w:pPr>
        <w:spacing w:after="0" w:line="237" w:lineRule="auto"/>
        <w:rPr>
          <w:rFonts w:ascii="Arial" w:cs="Arial" w:eastAsia="Arial" w:hAnsi="Arial"/>
          <w:sz w:val="21"/>
          <w:szCs w:val="21"/>
          <w:color w:val="auto"/>
        </w:rPr>
      </w:pPr>
      <w:r>
        <w:rPr>
          <w:rFonts w:ascii="Arial" w:cs="Arial" w:eastAsia="Arial" w:hAnsi="Arial"/>
          <w:sz w:val="22"/>
          <w:szCs w:val="22"/>
          <w:color w:val="auto"/>
        </w:rPr>
        <w:t>** Payments made at acquisition date of $11.3 million were in respect of certain one-time liabilities which have subsequently been discharged.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Restructuring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Restructuring Charges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a charge of $6.2 million and office consolidation resulting in the recognition of an onerous lease obligation of $2.0 million during the twelve months ended December 31, 2016. No additional charge was recorded during the three months ended March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Onerous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Reductions</w:t>
            </w:r>
          </w:p>
        </w:tc>
        <w:tc>
          <w:tcPr>
            <w:tcW w:w="50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Lease</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8"/>
              </w:rPr>
              <w:t>(in thousands)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6,190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1,969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Utilized</w:t>
            </w:r>
          </w:p>
        </w:tc>
        <w:tc>
          <w:tcPr>
            <w:tcW w:w="2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(5,734)</w:t>
            </w: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2016</w:t>
            </w:r>
          </w:p>
        </w:tc>
        <w:tc>
          <w:tcPr>
            <w:tcW w:w="2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393</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1,398</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Utilized</w:t>
            </w:r>
          </w:p>
        </w:tc>
        <w:tc>
          <w:tcPr>
            <w:tcW w:w="2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March 31, 2017</w:t>
            </w:r>
          </w:p>
        </w:tc>
        <w:tc>
          <w:tcPr>
            <w:tcW w:w="2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1,023</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restructuring charge of $8.8 million was recognized during the year ended December 31, 2014. Following the closure of the Company’s European Phase 1 services in 2013, the Company recognized a charge in 2014 in relation to its Manchester, United Kingdom facility; $5.6 million in relation to asset impairments and $3.2 million in relation to an onerous lease charge associated with this facility. We expect this to be paid by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Asset</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Onerous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Impairment</w:t>
            </w:r>
          </w:p>
        </w:tc>
        <w:tc>
          <w:tcPr>
            <w:tcW w:w="2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Lease</w:t>
            </w:r>
          </w:p>
        </w:tc>
        <w:tc>
          <w:tcPr>
            <w:tcW w:w="5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recognized</w:t>
            </w:r>
          </w:p>
        </w:tc>
        <w:tc>
          <w:tcPr>
            <w:tcW w:w="2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3,167</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Asset write-off</w:t>
            </w:r>
          </w:p>
        </w:tc>
        <w:tc>
          <w:tcPr>
            <w:tcW w:w="2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2014</w:t>
            </w:r>
          </w:p>
        </w:tc>
        <w:tc>
          <w:tcPr>
            <w:tcW w:w="2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3,167</w:t>
            </w:r>
          </w:p>
        </w:tc>
        <w:tc>
          <w:tcPr>
            <w:tcW w:w="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Utilized</w:t>
            </w:r>
          </w:p>
        </w:tc>
        <w:tc>
          <w:tcPr>
            <w:tcW w:w="2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2015</w:t>
            </w:r>
          </w:p>
        </w:tc>
        <w:tc>
          <w:tcPr>
            <w:tcW w:w="2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2,000</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Utilized</w:t>
            </w:r>
          </w:p>
        </w:tc>
        <w:tc>
          <w:tcPr>
            <w:tcW w:w="2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December 31, 2016</w:t>
            </w:r>
          </w:p>
        </w:tc>
        <w:tc>
          <w:tcPr>
            <w:tcW w:w="24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641</w:t>
            </w:r>
          </w:p>
        </w:tc>
        <w:tc>
          <w:tcPr>
            <w:tcW w:w="5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Utilized</w:t>
            </w:r>
          </w:p>
        </w:tc>
        <w:tc>
          <w:tcPr>
            <w:tcW w:w="2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at March 31, 2017</w:t>
            </w:r>
          </w:p>
        </w:tc>
        <w:tc>
          <w:tcPr>
            <w:tcW w:w="24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w:t>
            </w: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$1.0 million is included within other liabilities and $0.5 million within non-current other liabilities.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160" w:type="dxa"/>
            <w:vAlign w:val="bottom"/>
            <w:gridSpan w:val="2"/>
          </w:tcPr>
          <w:p>
            <w:pPr>
              <w:spacing w:after="0"/>
              <w:rPr>
                <w:sz w:val="20"/>
                <w:szCs w:val="20"/>
                <w:color w:val="auto"/>
              </w:rPr>
            </w:pPr>
            <w:r>
              <w:rPr>
                <w:rFonts w:ascii="Arial" w:cs="Arial" w:eastAsia="Arial" w:hAnsi="Arial"/>
                <w:sz w:val="18"/>
                <w:szCs w:val="18"/>
                <w:color w:val="auto"/>
              </w:rPr>
              <w:t>Income taxes recognized during the three months ended March 31, 2017 comprise:</w:t>
            </w: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March 31, 2017 the Company maintains a $30.6 million liability (December 31, 2016: $29.9 million) for unrecognized tax benefit, which is comprised of $27.2 million (December 31, 2016: $26.6 million) related to items generating unrecognized tax benefits and $3.4 million (December 31, 2016: $3.3 million) for interest and related penalties to such items. The Company recognizes interest accrued on unrecognized tax benefits as an additional income tax expense.</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2012 through 2016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172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7"/>
                <w:szCs w:val="17"/>
                <w:color w:val="auto"/>
              </w:rPr>
            </w:pPr>
          </w:p>
        </w:tc>
        <w:tc>
          <w:tcPr>
            <w:tcW w:w="13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210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54,372,931</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55,011,019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Effect of dilutive share options outstanding</w:t>
            </w:r>
          </w:p>
        </w:tc>
        <w:tc>
          <w:tcPr>
            <w:tcW w:w="1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998,895</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1,231,145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for diluted net income per ordinary share</w:t>
            </w:r>
          </w:p>
        </w:tc>
        <w:tc>
          <w:tcPr>
            <w:tcW w:w="2100" w:type="dxa"/>
            <w:vAlign w:val="bottom"/>
            <w:tcBorders>
              <w:bottom w:val="single" w:sz="8" w:color="auto"/>
            </w:tcBorders>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55,371,826</w:t>
            </w:r>
          </w:p>
        </w:tc>
        <w:tc>
          <w:tcPr>
            <w:tcW w:w="13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56,242,164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Non-qualifying Stock Options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March 31, 2017 is eight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2017:</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8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98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c>
          <w:tcPr>
            <w:tcW w:w="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80" w:type="dxa"/>
            <w:vAlign w:val="bottom"/>
          </w:tcPr>
          <w:p>
            <w:pPr>
              <w:spacing w:after="0"/>
              <w:rPr>
                <w:sz w:val="20"/>
                <w:szCs w:val="20"/>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2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1,466,444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13.94</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135,243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24.49</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Exercised</w:t>
            </w: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(121,210)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22.75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8.71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2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(10,347)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41.44</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13.42</w:t>
            </w:r>
          </w:p>
        </w:tc>
        <w:tc>
          <w:tcPr>
            <w:tcW w:w="1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2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1,470,130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15.35</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March 31, 2017</w:t>
            </w:r>
          </w:p>
        </w:tc>
        <w:tc>
          <w:tcPr>
            <w:tcW w:w="2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682,269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12.35</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$6.72 to $24.49 per option or a weighted average fair value of $11.12 per option. The Company issues ordinary shares for all options exercised. The total amount of fully vested share options which remained outstanding at March 31, 2017, was 682,269. Fully vested share options at March 31, 2017, have an average remaining contractual term of 3.79 years, an average exercise price of $36.53 and a total intrinsic value of $29.5 million. The total intrinsic value of options exercised during the three months ended March 31, 2017 was $7.4 million (March 31, 2016: $2.2 million).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Weighted Average</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 Shares</w:t>
            </w:r>
          </w:p>
        </w:tc>
        <w:tc>
          <w:tcPr>
            <w:tcW w:w="3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Exercise Price</w:t>
            </w:r>
          </w:p>
        </w:tc>
        <w:tc>
          <w:tcPr>
            <w:tcW w:w="4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December 31, 2016</w:t>
            </w:r>
          </w:p>
        </w:tc>
        <w:tc>
          <w:tcPr>
            <w:tcW w:w="3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814,870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54.37</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135,243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83.47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Vested</w:t>
            </w:r>
          </w:p>
        </w:tc>
        <w:tc>
          <w:tcPr>
            <w:tcW w:w="3120" w:type="dxa"/>
            <w:vAlign w:val="bottom"/>
          </w:tcPr>
          <w:p>
            <w:pPr>
              <w:jc w:val="right"/>
              <w:ind w:right="10"/>
              <w:spacing w:after="0"/>
              <w:rPr>
                <w:sz w:val="20"/>
                <w:szCs w:val="20"/>
                <w:color w:val="auto"/>
              </w:rPr>
            </w:pPr>
            <w:r>
              <w:rPr>
                <w:rFonts w:ascii="Arial" w:cs="Arial" w:eastAsia="Arial" w:hAnsi="Arial"/>
                <w:sz w:val="18"/>
                <w:szCs w:val="18"/>
                <w:color w:val="auto"/>
              </w:rPr>
              <w:t>(152,865)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54.19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43.40</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outstanding at March 31, 2017</w:t>
            </w:r>
          </w:p>
        </w:tc>
        <w:tc>
          <w:tcPr>
            <w:tcW w:w="3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787,861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59.53</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March 31, 2017 and March 31, 2016 was calculated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1"/>
              </w:rPr>
              <w:t>March 31,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7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24.49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16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7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7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18"/>
                <w:szCs w:val="18"/>
                <w:color w:val="auto"/>
              </w:rPr>
            </w:pP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7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4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(“RSU”) and Performance Share Unit (“PSU”)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three months ended March 31,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PSU</w:t>
            </w: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RSU</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RSU</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Weighted</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Fair Value</w:t>
            </w:r>
          </w:p>
        </w:tc>
        <w:tc>
          <w:tcPr>
            <w:tcW w:w="16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 Life</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Fair Value</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Outstanding at December 31, 2016</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830,523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60.73</w:t>
            </w: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1.11</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1,025,484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58.64</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79,346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83.47</w:t>
            </w:r>
          </w:p>
        </w:tc>
        <w:tc>
          <w:tcPr>
            <w:tcW w:w="16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39,146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83.47</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Shares 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(308,144)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46.86</w:t>
            </w:r>
          </w:p>
        </w:tc>
        <w:tc>
          <w:tcPr>
            <w:tcW w:w="1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(37,235)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61.80</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51.35</w:t>
            </w:r>
          </w:p>
        </w:tc>
        <w:tc>
          <w:tcPr>
            <w:tcW w:w="1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55.53</w:t>
            </w:r>
          </w:p>
        </w:tc>
        <w:tc>
          <w:tcPr>
            <w:tcW w:w="15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March 31, 2017</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590,571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70.39</w:t>
            </w: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1.59</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989,873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59.62</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three months ended March 31, 2017 totaled $2.3 million (full year 2016: $10.8 million).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PSUs vested for the three months ended March 31, 2017 totaled $14.4 million (the fair value of PSUs vested for the full year 2016 was $10.3 million).</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PSUs vest based on service and specified EPS targets over the period 2014 – 2017, 2015 – 2018, 2016 – 2019 and 2017 – 2020. Since 2013, 307,351 PSUs (net of forfeitures) have been granted. Up to an additional 283,220 PSUs may also be granted, based on the actual EPS from 2014 to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spacing w:after="0"/>
              <w:rPr>
                <w:sz w:val="20"/>
                <w:szCs w:val="20"/>
                <w:color w:val="auto"/>
              </w:rPr>
            </w:pPr>
            <w:r>
              <w:rPr>
                <w:rFonts w:ascii="Arial" w:cs="Arial" w:eastAsia="Arial" w:hAnsi="Arial"/>
                <w:sz w:val="18"/>
                <w:szCs w:val="18"/>
                <w:i w:val="1"/>
                <w:iCs w:val="1"/>
                <w:color w:val="auto"/>
              </w:rPr>
              <w:t>Non-cash stock compensation expense</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260" w:type="dxa"/>
            <w:vAlign w:val="bottom"/>
          </w:tcPr>
          <w:p>
            <w:pPr>
              <w:spacing w:after="0"/>
              <w:rPr>
                <w:sz w:val="20"/>
                <w:szCs w:val="20"/>
                <w:color w:val="auto"/>
              </w:rPr>
            </w:pPr>
            <w:r>
              <w:rPr>
                <w:rFonts w:ascii="Arial" w:cs="Arial" w:eastAsia="Arial" w:hAnsi="Arial"/>
                <w:sz w:val="18"/>
                <w:szCs w:val="18"/>
                <w:color w:val="auto"/>
                <w:w w:val="90"/>
              </w:rPr>
              <w:t>Non-cash stock compensation expense for the three months ended March 31, 2017 has been allocated as follows: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8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60" w:type="dxa"/>
            <w:vAlign w:val="bottom"/>
            <w:gridSpan w:val="3"/>
          </w:tcPr>
          <w:p>
            <w:pPr>
              <w:spacing w:after="0"/>
              <w:rPr>
                <w:sz w:val="24"/>
                <w:szCs w:val="24"/>
                <w:color w:val="auto"/>
              </w:rPr>
            </w:pPr>
          </w:p>
        </w:tc>
      </w:tr>
      <w:tr>
        <w:trPr>
          <w:trHeight w:val="196"/>
        </w:trPr>
        <w:tc>
          <w:tcPr>
            <w:tcW w:w="8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r>
      <w:tr>
        <w:trPr>
          <w:trHeight w:val="196"/>
        </w:trPr>
        <w:tc>
          <w:tcPr>
            <w:tcW w:w="8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r>
      <w:tr>
        <w:trPr>
          <w:trHeight w:val="20"/>
        </w:trPr>
        <w:tc>
          <w:tcPr>
            <w:tcW w:w="8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5,285</w:t>
            </w:r>
          </w:p>
        </w:tc>
      </w:tr>
      <w:tr>
        <w:trPr>
          <w:trHeight w:val="223"/>
        </w:trPr>
        <w:tc>
          <w:tcPr>
            <w:tcW w:w="8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3,955</w:t>
            </w: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4,306</w:t>
            </w:r>
          </w:p>
        </w:tc>
      </w:tr>
      <w:tr>
        <w:trPr>
          <w:trHeight w:val="216"/>
        </w:trPr>
        <w:tc>
          <w:tcPr>
            <w:tcW w:w="8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8,809</w:t>
            </w: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9,591</w:t>
            </w:r>
          </w:p>
        </w:tc>
      </w:tr>
      <w:tr>
        <w:trPr>
          <w:trHeight w:val="21"/>
        </w:trPr>
        <w:tc>
          <w:tcPr>
            <w:tcW w:w="8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non-cash stock compensation expense not yet recognized at March 31, 2017 amounted to $63.2 million. The weighted average period over which this is expected to be recognized is 2.2 years.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has applied the updated standard prospectively in the first quarter of the year ended December 31, 2017.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Share Capital</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March 31, 2017 1,221,729 ordinary shares were redeemed by the Company under this buyback program for a total consideration of $96.4 million. At March 31, 2017 a total of 2,650,916 ordinary shares were redeemed by the Company under this buyback program for a total consideration of $206.4 million. All ordinary shares that were redeemed under the buyback program were cancelled in accordance with the Constitution of the Company and the nominal value of these shares transferred to an other undenominated capital reserve as required under Irish Company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is comprised of the Chief Executive Officer and the Chief Financial Officer.</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determines and presents operating segments based on the information that is provided to the CODM. The Company has determined that we operate in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geographical distribution of the Company’s segment measures as at March 31, 2017 and December 31, 2016 and for the three months ended March 31, 2017 and March 31, 2016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7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109,205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Rest of Europe</w:t>
            </w:r>
          </w:p>
        </w:tc>
        <w:tc>
          <w:tcPr>
            <w:tcW w:w="22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71,453</w:t>
            </w:r>
          </w:p>
        </w:tc>
        <w:tc>
          <w:tcPr>
            <w:tcW w:w="62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75,642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201,615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184,090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49,681</w:t>
            </w: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39,955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431,954</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400,522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660" w:hanging="142"/>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37" w:lineRule="exact"/>
        <w:rPr>
          <w:rFonts w:ascii="Arial" w:cs="Arial" w:eastAsia="Arial" w:hAnsi="Arial"/>
          <w:sz w:val="18"/>
          <w:szCs w:val="18"/>
          <w:color w:val="auto"/>
        </w:rPr>
      </w:pPr>
    </w:p>
    <w:p>
      <w:pPr>
        <w:ind w:left="200" w:hanging="192"/>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9"/>
          </w:tcPr>
          <w:p>
            <w:pPr>
              <w:jc w:val="center"/>
              <w:ind w:right="7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63,968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10,499</w:t>
            </w: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10,784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85,658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76,010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580" w:type="dxa"/>
            <w:vAlign w:val="bottom"/>
            <w:gridSpan w:val="2"/>
          </w:tcPr>
          <w:p>
            <w:pPr>
              <w:spacing w:after="0"/>
              <w:rPr>
                <w:sz w:val="20"/>
                <w:szCs w:val="20"/>
                <w:color w:val="auto"/>
              </w:rPr>
            </w:pPr>
            <w:r>
              <w:rPr>
                <w:rFonts w:ascii="Arial" w:cs="Arial" w:eastAsia="Arial" w:hAnsi="Arial"/>
                <w:sz w:val="18"/>
                <w:szCs w:val="18"/>
                <w:color w:val="auto"/>
              </w:rPr>
              <w:t>c) The distribution of property, plant and equipment, net, by geographical area was as follows: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9"/>
          </w:tcPr>
          <w:p>
            <w:pPr>
              <w:jc w:val="center"/>
              <w:ind w:right="7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105,836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Rest of Europe</w:t>
            </w:r>
          </w:p>
        </w:tc>
        <w:tc>
          <w:tcPr>
            <w:tcW w:w="13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27,931</w:t>
            </w: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148,644</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148,967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7580" w:type="dxa"/>
            <w:vAlign w:val="bottom"/>
            <w:gridSpan w:val="2"/>
          </w:tcPr>
          <w:p>
            <w:pPr>
              <w:jc w:val="right"/>
              <w:ind w:right="169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d) The distribution of depreciation and amortization by geographical area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9"/>
          </w:tcPr>
          <w:p>
            <w:pPr>
              <w:jc w:val="center"/>
              <w:ind w:right="7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Rest of Europe</w:t>
            </w:r>
          </w:p>
        </w:tc>
        <w:tc>
          <w:tcPr>
            <w:tcW w:w="2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870</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14,448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720" w:type="dxa"/>
            <w:vAlign w:val="bottom"/>
            <w:gridSpan w:val="2"/>
          </w:tcPr>
          <w:p>
            <w:pPr>
              <w:spacing w:after="0"/>
              <w:rPr>
                <w:sz w:val="20"/>
                <w:szCs w:val="20"/>
                <w:color w:val="auto"/>
              </w:rPr>
            </w:pPr>
            <w:r>
              <w:rPr>
                <w:rFonts w:ascii="Arial" w:cs="Arial" w:eastAsia="Arial" w:hAnsi="Arial"/>
                <w:sz w:val="18"/>
                <w:szCs w:val="18"/>
                <w:color w:val="auto"/>
              </w:rPr>
              <w:t>e) The distribution of total assets by geographical area was as follows: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9"/>
          </w:tcPr>
          <w:p>
            <w:pPr>
              <w:jc w:val="center"/>
              <w:ind w:right="78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803,421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766,120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Rest of Europe</w:t>
            </w:r>
          </w:p>
        </w:tc>
        <w:tc>
          <w:tcPr>
            <w:tcW w:w="2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356,355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337,062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628,012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651,160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67,427</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71,501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1,855,215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1,825,843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2016.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2017, we employed approximately 12,328 employees, in 87 locations in 38 countries. During the three months ended March 31, 2017 we derived approximately 46.7%, 41.8% and 11.5% of our net revenue in the United States, Europe and Rest of World respectively.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contracts is recognized on a proportional performance method based on the relationship between time incurred and the total estimated duration of the trial or on a fee-for-service basis depending to the particular circumstances of the contract. As is customary in the CRO industry, we contract with third party investigators in connection with clinical trials. All investigator fees and certain other costs, where reimbursed by clients, are deducted from gross revenue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March 31, 2017 we had a backlog of approximately $4.3 billion, compared with approximately $4.2 billion at December 31, 2016.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2017 compared with Three Months Ended March 31, 2016</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gridSpan w:val="8"/>
          </w:tcPr>
          <w:p>
            <w:pPr>
              <w:jc w:val="right"/>
              <w:ind w:right="1120"/>
              <w:spacing w:after="0"/>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4"/>
          </w:tcPr>
          <w:p>
            <w:pPr>
              <w:jc w:val="right"/>
              <w:ind w:right="840"/>
              <w:spacing w:after="0" w:line="196" w:lineRule="exact"/>
              <w:rPr>
                <w:sz w:val="20"/>
                <w:szCs w:val="20"/>
                <w:color w:val="auto"/>
              </w:rPr>
            </w:pPr>
            <w:r>
              <w:rPr>
                <w:rFonts w:ascii="Arial" w:cs="Arial" w:eastAsia="Arial" w:hAnsi="Arial"/>
                <w:sz w:val="18"/>
                <w:szCs w:val="18"/>
                <w:b w:val="1"/>
                <w:bCs w:val="1"/>
                <w:color w:val="auto"/>
                <w:w w:val="91"/>
              </w:rPr>
              <w:t>March 31,</w:t>
            </w:r>
          </w:p>
        </w:tc>
        <w:tc>
          <w:tcPr>
            <w:tcW w:w="1240" w:type="dxa"/>
            <w:vAlign w:val="bottom"/>
            <w:gridSpan w:val="5"/>
          </w:tcPr>
          <w:p>
            <w:pPr>
              <w:jc w:val="right"/>
              <w:ind w:right="460"/>
              <w:spacing w:after="0" w:line="196" w:lineRule="exact"/>
              <w:rPr>
                <w:sz w:val="20"/>
                <w:szCs w:val="20"/>
                <w:color w:val="auto"/>
              </w:rPr>
            </w:pPr>
            <w:r>
              <w:rPr>
                <w:rFonts w:ascii="Arial" w:cs="Arial" w:eastAsia="Arial" w:hAnsi="Arial"/>
                <w:sz w:val="18"/>
                <w:szCs w:val="18"/>
                <w:b w:val="1"/>
                <w:bCs w:val="1"/>
                <w:color w:val="auto"/>
                <w:w w:val="91"/>
              </w:rPr>
              <w:t>March 31,</w:t>
            </w:r>
          </w:p>
        </w:tc>
        <w:tc>
          <w:tcPr>
            <w:tcW w:w="116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8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2017</w:t>
            </w:r>
          </w:p>
        </w:tc>
        <w:tc>
          <w:tcPr>
            <w:tcW w:w="840" w:type="dxa"/>
            <w:vAlign w:val="bottom"/>
          </w:tcPr>
          <w:p>
            <w:pPr>
              <w:spacing w:after="0"/>
              <w:rPr>
                <w:sz w:val="17"/>
                <w:szCs w:val="17"/>
                <w:color w:val="auto"/>
              </w:rPr>
            </w:pPr>
          </w:p>
        </w:tc>
        <w:tc>
          <w:tcPr>
            <w:tcW w:w="4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2016</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gridSpan w:val="8"/>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240" w:type="dxa"/>
            <w:vAlign w:val="bottom"/>
            <w:gridSpan w:val="11"/>
          </w:tcPr>
          <w:p>
            <w:pPr>
              <w:jc w:val="right"/>
              <w:ind w:right="900"/>
              <w:spacing w:after="0" w:line="196" w:lineRule="exact"/>
              <w:rPr>
                <w:sz w:val="20"/>
                <w:szCs w:val="20"/>
                <w:color w:val="auto"/>
              </w:rPr>
            </w:pPr>
            <w:r>
              <w:rPr>
                <w:rFonts w:ascii="Arial" w:cs="Arial" w:eastAsia="Arial" w:hAnsi="Arial"/>
                <w:sz w:val="18"/>
                <w:szCs w:val="18"/>
                <w:b w:val="1"/>
                <w:bCs w:val="1"/>
                <w:color w:val="auto"/>
              </w:rPr>
              <w:t>Percentage of Net Revenue</w:t>
            </w:r>
          </w:p>
        </w:tc>
        <w:tc>
          <w:tcPr>
            <w:tcW w:w="3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4000" w:type="dxa"/>
            <w:vAlign w:val="bottom"/>
            <w:tcBorders>
              <w:bottom w:val="single" w:sz="8" w:color="auto"/>
            </w:tcBorders>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100.0%</w:t>
            </w:r>
          </w:p>
        </w:tc>
        <w:tc>
          <w:tcPr>
            <w:tcW w:w="1240" w:type="dxa"/>
            <w:vAlign w:val="bottom"/>
            <w:tcBorders>
              <w:bottom w:val="single" w:sz="8" w:color="auto"/>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38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334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4000" w:type="dxa"/>
            <w:vAlign w:val="bottom"/>
            <w:gridSpan w:val="6"/>
          </w:tcPr>
          <w:p>
            <w:pPr>
              <w:jc w:val="right"/>
              <w:ind w:right="680"/>
              <w:spacing w:after="0"/>
              <w:rPr>
                <w:sz w:val="20"/>
                <w:szCs w:val="20"/>
                <w:color w:val="auto"/>
              </w:rPr>
            </w:pPr>
            <w:r>
              <w:rPr>
                <w:rFonts w:ascii="Arial" w:cs="Arial" w:eastAsia="Arial" w:hAnsi="Arial"/>
                <w:sz w:val="18"/>
                <w:szCs w:val="18"/>
                <w:color w:val="auto"/>
              </w:rPr>
              <w:t>58.0%</w:t>
            </w:r>
          </w:p>
        </w:tc>
        <w:tc>
          <w:tcPr>
            <w:tcW w:w="1240" w:type="dxa"/>
            <w:vAlign w:val="bottom"/>
            <w:gridSpan w:val="5"/>
          </w:tcPr>
          <w:p>
            <w:pPr>
              <w:jc w:val="right"/>
              <w:ind w:right="300"/>
              <w:spacing w:after="0"/>
              <w:rPr>
                <w:sz w:val="20"/>
                <w:szCs w:val="20"/>
                <w:color w:val="auto"/>
              </w:rPr>
            </w:pPr>
            <w:r>
              <w:rPr>
                <w:rFonts w:ascii="Arial" w:cs="Arial" w:eastAsia="Arial" w:hAnsi="Arial"/>
                <w:sz w:val="18"/>
                <w:szCs w:val="18"/>
                <w:color w:val="auto"/>
              </w:rPr>
              <w:t>57.1%</w:t>
            </w:r>
          </w:p>
        </w:tc>
        <w:tc>
          <w:tcPr>
            <w:tcW w:w="1380" w:type="dxa"/>
            <w:vAlign w:val="bottom"/>
            <w:gridSpan w:val="8"/>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00" w:type="dxa"/>
            <w:vAlign w:val="bottom"/>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18.9%</w:t>
            </w:r>
          </w:p>
        </w:tc>
        <w:tc>
          <w:tcPr>
            <w:tcW w:w="124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20.2%</w:t>
            </w:r>
          </w:p>
        </w:tc>
        <w:tc>
          <w:tcPr>
            <w:tcW w:w="138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4000" w:type="dxa"/>
            <w:vAlign w:val="bottom"/>
            <w:gridSpan w:val="6"/>
          </w:tcPr>
          <w:p>
            <w:pPr>
              <w:jc w:val="right"/>
              <w:ind w:right="680"/>
              <w:spacing w:after="0"/>
              <w:rPr>
                <w:sz w:val="20"/>
                <w:szCs w:val="20"/>
                <w:color w:val="auto"/>
              </w:rPr>
            </w:pPr>
            <w:r>
              <w:rPr>
                <w:rFonts w:ascii="Arial" w:cs="Arial" w:eastAsia="Arial" w:hAnsi="Arial"/>
                <w:sz w:val="18"/>
                <w:szCs w:val="18"/>
                <w:color w:val="auto"/>
              </w:rPr>
              <w:t>2.3%</w:t>
            </w:r>
          </w:p>
        </w:tc>
        <w:tc>
          <w:tcPr>
            <w:tcW w:w="1240" w:type="dxa"/>
            <w:vAlign w:val="bottom"/>
            <w:gridSpan w:val="5"/>
          </w:tcPr>
          <w:p>
            <w:pPr>
              <w:jc w:val="right"/>
              <w:ind w:right="300"/>
              <w:spacing w:after="0"/>
              <w:rPr>
                <w:sz w:val="20"/>
                <w:szCs w:val="20"/>
                <w:color w:val="auto"/>
              </w:rPr>
            </w:pPr>
            <w:r>
              <w:rPr>
                <w:rFonts w:ascii="Arial" w:cs="Arial" w:eastAsia="Arial" w:hAnsi="Arial"/>
                <w:sz w:val="18"/>
                <w:szCs w:val="18"/>
                <w:color w:val="auto"/>
              </w:rPr>
              <w:t>2.5%</w:t>
            </w:r>
          </w:p>
        </w:tc>
        <w:tc>
          <w:tcPr>
            <w:tcW w:w="1380" w:type="dxa"/>
            <w:vAlign w:val="bottom"/>
            <w:gridSpan w:val="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4000" w:type="dxa"/>
            <w:vAlign w:val="bottom"/>
            <w:tcBorders>
              <w:bottom w:val="single" w:sz="8" w:color="auto"/>
            </w:tcBorders>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240" w:type="dxa"/>
            <w:vAlign w:val="bottom"/>
            <w:tcBorders>
              <w:bottom w:val="single" w:sz="8" w:color="auto"/>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380" w:type="dxa"/>
            <w:vAlign w:val="bottom"/>
            <w:tcBorders>
              <w:bottom w:val="single" w:sz="8" w:color="auto"/>
            </w:tcBorders>
            <w:gridSpan w:val="8"/>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0" w:type="dxa"/>
            <w:vAlign w:val="bottom"/>
            <w:tcBorders>
              <w:bottom w:val="single" w:sz="8" w:color="auto"/>
            </w:tcBorders>
            <w:gridSpan w:val="6"/>
            <w:shd w:val="clear" w:color="auto" w:fill="CCEEFF"/>
          </w:tcPr>
          <w:p>
            <w:pPr>
              <w:jc w:val="right"/>
              <w:ind w:right="680"/>
              <w:spacing w:after="0"/>
              <w:rPr>
                <w:sz w:val="20"/>
                <w:szCs w:val="20"/>
                <w:color w:val="auto"/>
              </w:rPr>
            </w:pPr>
            <w:r>
              <w:rPr>
                <w:rFonts w:ascii="Arial" w:cs="Arial" w:eastAsia="Arial" w:hAnsi="Arial"/>
                <w:sz w:val="18"/>
                <w:szCs w:val="18"/>
                <w:color w:val="auto"/>
              </w:rPr>
              <w:t>19.8%</w:t>
            </w:r>
          </w:p>
        </w:tc>
        <w:tc>
          <w:tcPr>
            <w:tcW w:w="1240" w:type="dxa"/>
            <w:vAlign w:val="bottom"/>
            <w:tcBorders>
              <w:bottom w:val="single" w:sz="8" w:color="auto"/>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138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revenue for the period increased by $31.4 million, or 7.8%, from $400.5 million for the three months ended March 31, 2016 to $432.0 million for the three months ended March 31, 2017. Net revenue increased by 8.3% in constant currency and by 4.5% in constant dollar organic terms. The increase in revenues in the three months ended March 31, 2017 can be explained by both continued organic growth, and the additional net revenues from the acquisition of ClinicalRM on September 15, 2016. During the three months ended March 31, 2017 we derived approximately 46.7%, 41.8% and 11.5% of our net revenue in the United States, Europe and Rest of World respectively. During the three months ended March 31, 2017 $194.9 million or 45% of our net revenues were derived from our top 5 customers compared to $179.2 million or 45% of net revenues derived from our top 5 customers during the three months ended March 31, 2016. The largest of these customers related to a Strategic Partnership with a large global pharmaceutical company. Net revenue from this customer contributed 24% of net revenue for the quarter, compared to 29% of net revenue in respect of the three months ended March 31, 2016. The addition of new customer accounts, particularly mid-tier pharma customers and biotech customers continues to result in a reduction in concentration of revenues from our top five customers.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72" w:lineRule="auto"/>
        <w:rPr>
          <w:sz w:val="20"/>
          <w:szCs w:val="20"/>
          <w:color w:val="auto"/>
        </w:rPr>
      </w:pPr>
      <w:r>
        <w:rPr>
          <w:rFonts w:ascii="Arial" w:cs="Arial" w:eastAsia="Arial" w:hAnsi="Arial"/>
          <w:sz w:val="17"/>
          <w:szCs w:val="17"/>
          <w:color w:val="auto"/>
        </w:rPr>
        <w:t>Net revenue in Ireland increased from $100.8 million for the three months ended March 31, 2016 to $109.2 million for the three months ended March 31, 2017. Net revenue in Ireland is principally a function of the Company’s global transfer pricing model (</w:t>
      </w:r>
      <w:r>
        <w:rPr>
          <w:rFonts w:ascii="Arial" w:cs="Arial" w:eastAsia="Arial" w:hAnsi="Arial"/>
          <w:sz w:val="17"/>
          <w:szCs w:val="17"/>
          <w:i w:val="1"/>
          <w:iCs w:val="1"/>
          <w:color w:val="auto"/>
        </w:rPr>
        <w:t>see note 7 Business Segmental Information for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details</w:t>
      </w:r>
      <w:r>
        <w:rPr>
          <w:rFonts w:ascii="Arial" w:cs="Arial" w:eastAsia="Arial" w:hAnsi="Arial"/>
          <w:sz w:val="17"/>
          <w:szCs w:val="17"/>
          <w:color w:val="auto"/>
        </w:rPr>
        <w:t>). Net revenue in our Rest of Europe region decreased from $75.6 million for the three months ended March 31, 2016 to $71.5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2017, while net revenue in our Rest of World region increased from $40.0 million for the three months ended March 31, 2016 to $49.7 million for the three months ended March 31, 2017. Net revenue in the U.S. region increased from $184.1 million for the three months ended March 31, 2016 to $201.6 million for the three months ended March 31, 2017. Net revenues in the U.S. region for the three months ended March 31, 2017 was impacted positively by the acquisition of ClinicalRM which was acquired on September 15, 2016.</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$21.9 million, or 9.6%, from $228.6 million for the three months ended March 31, 2016 to $250.5 million for the three months ended March 31, 2017.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$17.1 million, and increases in other direct project related costs of $4.8 million and laboratory costs of $1.3 million. This increase was offset by a decrease in travel related costs of $1.3 million. As a percentage of net revenue, direct costs have increased from 57.1% for the three months ended March 31, 2016 to 58.0% for the three months ended March 31, 2017.</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for the period increased by $0.6 million, or 0.7%, from $80.8 million for the three months ended March 31, 2016 to $81.4 million for the three months ended March 31, 2017.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reflects continued focus on personnel related expenditure and facilities and related costs. As a percentage of net revenue, selling, general and administrative expenses, decreased from 20.2% for the three months ended March 31, 2016 to 18.9% for the three months ended March 31, 2017.</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Depreciation expense for the period decreased by $0.1 million, or 1.4%, from $10.2 million for three months ended March 31, 2016 to $10.0 million for three months ended March 31, 2017. Depreciation expense arises principally from continued investment in facilities, information systems and equipment to support the Company’s growth. As a percentage of net revenue the depreciation expense for the three months ended March 31, 2017 (2.3%) decreased marginally on the percentage of net revenue charge for the three months ended March 31, 2016 (2.5%). Amortization expense for the period decreased by $0.6 million, or 10.7%, from $5.0 million for the three months ended March 31, 2016 to $4.4 million for the three months ended March 31, 2017. Amortization expense represents the amortization of intangible assets acquired on business combinations. The main reason for the decrease in the amortization expense for the period relates to the cessation of the amortization charge in respect of the MediMedia order backlog asset in line with the amortization period of 2 years, this was offset in part by the additional amortization for the period related to the acquisition of CRM. As a percentage of net revenue, amortization expense decreased from 1.2% for the three months ended March 31, 2016 to 1.0% for the three months ended March 31, 2017.</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above, income from operations for the three months increased by $9.6 million, or 12.7%, from $76.0 million for the three months ended March 31, 2016 to $85.6 million for the three months ended March 31, 2017. As a percentage of net revenue, income from operations increased from 19.0% of net revenues for the three months ended March 31, 2016 to 19.8% of net revenues for the three months ended March 31, 2017.</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Income from operations in Ireland increased from a profit of $59.6 million for the three months ended March 31, 2016 to a profit of $64.0 million for the three months ended March 31, 2017. Income from operations in Ireland is impacted by the Group’s global transfer pricing model </w:t>
      </w:r>
      <w:r>
        <w:rPr>
          <w:rFonts w:ascii="Arial" w:cs="Arial" w:eastAsia="Arial" w:hAnsi="Arial"/>
          <w:sz w:val="18"/>
          <w:szCs w:val="18"/>
          <w:i w:val="1"/>
          <w:iCs w:val="1"/>
          <w:color w:val="auto"/>
        </w:rPr>
        <w:t>(see note 9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Segmental Information for further details). </w:t>
      </w:r>
      <w:r>
        <w:rPr>
          <w:rFonts w:ascii="Arial" w:cs="Arial" w:eastAsia="Arial" w:hAnsi="Arial"/>
          <w:sz w:val="18"/>
          <w:szCs w:val="18"/>
          <w:color w:val="auto"/>
        </w:rPr>
        <w:t>Income from operations in our Rest of Europe region increased from $3.4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2016 to $3.7 million for the three months ended March 31, 2017, while income from operations in our Rest of World region increased from $2.2 million for the three months ended March 31, 2016 to $7.5 million for the three months ended March 31, 2017. This reflects a non-recurring intercompany pricing adjustment for services historically provided by certain Rest of World subsidiaries. Income from operations in the U.S. region decreased from $10.8 million for the three months ended March 31, 2016 to $10.5 million for the three months ended March 31, 2017, reflecting the contribution arising on the acquisition of CRM, offset in part by increased amortization charges and a poor performance in certain U.S. subsidiaries that do not operate under the Group's global transfer pricing model.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jc w:val="both"/>
        <w:ind w:right="20"/>
        <w:spacing w:after="0" w:line="264" w:lineRule="auto"/>
        <w:rPr>
          <w:sz w:val="20"/>
          <w:szCs w:val="20"/>
          <w:color w:val="auto"/>
        </w:rPr>
      </w:pPr>
      <w:r>
        <w:rPr>
          <w:rFonts w:ascii="Arial" w:cs="Arial" w:eastAsia="Arial" w:hAnsi="Arial"/>
          <w:sz w:val="18"/>
          <w:szCs w:val="18"/>
          <w:color w:val="auto"/>
        </w:rPr>
        <w:t>Interest expense of $3.2 million for the three months ended March 31, 2017 is in line with the charge for the three months ended March 31, 2016. Interest income increased by $0.3 million or 66.2%, from $0.3 million for the three months ended March 31, 2016 to $0.6 million for the three months ended March 31, 2017.</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 increased from $10.2 million for the three months ended March 31, 2016 to $11.6 million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The Company’s effective tax rate for the three months ended March 31, 2017 was 14.0% compared with 13.9% for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The Company’s effective tax rate is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Net cash</w:t>
            </w:r>
          </w:p>
        </w:tc>
        <w:tc>
          <w:tcPr>
            <w:tcW w:w="17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Other</w:t>
            </w:r>
          </w:p>
        </w:tc>
        <w:tc>
          <w:tcPr>
            <w:tcW w:w="1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Effect of</w:t>
            </w: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Drawn down/</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inflow/</w:t>
            </w: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non-cash</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exchange</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31 Dec 2016</w:t>
            </w:r>
          </w:p>
        </w:tc>
        <w:tc>
          <w:tcPr>
            <w:tcW w:w="1760" w:type="dxa"/>
            <w:vAlign w:val="bottom"/>
          </w:tcPr>
          <w:p>
            <w:pPr>
              <w:jc w:val="right"/>
              <w:ind w:right="370"/>
              <w:spacing w:after="0"/>
              <w:rPr>
                <w:sz w:val="20"/>
                <w:szCs w:val="20"/>
                <w:color w:val="auto"/>
              </w:rPr>
            </w:pPr>
            <w:r>
              <w:rPr>
                <w:rFonts w:ascii="Arial" w:cs="Arial" w:eastAsia="Arial" w:hAnsi="Arial"/>
                <w:sz w:val="18"/>
                <w:szCs w:val="18"/>
                <w:b w:val="1"/>
                <w:bCs w:val="1"/>
                <w:color w:val="auto"/>
              </w:rPr>
              <w:t>(repaid)</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(outflow)</w:t>
            </w:r>
          </w:p>
        </w:tc>
        <w:tc>
          <w:tcPr>
            <w:tcW w:w="1720" w:type="dxa"/>
            <w:vAlign w:val="bottom"/>
          </w:tcPr>
          <w:p>
            <w:pPr>
              <w:jc w:val="right"/>
              <w:ind w:right="370"/>
              <w:spacing w:after="0"/>
              <w:rPr>
                <w:sz w:val="20"/>
                <w:szCs w:val="20"/>
                <w:color w:val="auto"/>
              </w:rPr>
            </w:pPr>
            <w:r>
              <w:rPr>
                <w:rFonts w:ascii="Arial" w:cs="Arial" w:eastAsia="Arial" w:hAnsi="Arial"/>
                <w:sz w:val="18"/>
                <w:szCs w:val="18"/>
                <w:b w:val="1"/>
                <w:bCs w:val="1"/>
                <w:color w:val="auto"/>
              </w:rPr>
              <w:t>adjustments</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rates</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31 Mar 2017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 in thousands</w:t>
            </w:r>
          </w:p>
        </w:tc>
        <w:tc>
          <w:tcPr>
            <w:tcW w:w="1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w:t>
            </w:r>
          </w:p>
        </w:tc>
        <w:tc>
          <w:tcPr>
            <w:tcW w:w="15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192,541</w:t>
            </w:r>
          </w:p>
        </w:tc>
        <w:tc>
          <w:tcPr>
            <w:tcW w:w="1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237,299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equivalents</w:t>
            </w: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44,019</w:t>
            </w:r>
          </w:p>
        </w:tc>
        <w:tc>
          <w:tcPr>
            <w:tcW w:w="17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739</w:t>
            </w: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Bank borrowings</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Private placement notes</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(348,511)</w:t>
            </w:r>
          </w:p>
        </w:tc>
        <w:tc>
          <w:tcPr>
            <w:tcW w:w="17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(93)</w:t>
            </w:r>
          </w:p>
        </w:tc>
        <w:tc>
          <w:tcPr>
            <w:tcW w:w="1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(348,604)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(155,970)</w:t>
            </w: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44,019</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(93)</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739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(111,305)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March 31, 2017 amounted to $319.0 million compared with cash and short term investment balances of $260.6 million at December 31, 2016. The Company’s cash and short term investment balances at March 31, 2017 comprised of cash and cash equivalents of $237.3 million and short-term investments of $81.7 million. The Company’s cash and short term investment balances at December 31, 2016 comprised of cash and cash equivalents of $192.5 million and short-term investments of $68.0 million.</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The facility is guaranteed by ICON plc. The facility bears interest at LIBOR plus a margin. No amounts were drawn at March 31, 2017 or at December 31, 2016 in respect of the Revolving Credit Facility. Amounts available to the Group under the facility at both March 31, 2017 and December 31, 2016 were therefore $100.0 million.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Group also has an uncommitted short-term revolving credit facility of $30 million. No amounts were drawn under this facility at 31 December 2016 or at March 31, 2017.</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provided by operating activities was $159.3 million for the three months ended March 31, 2017 compared with cash provided by operating activities of $59.3 million for the three months ended March 31, 2016. The positive cash flow impact of the increase in revenues and underlying profitability of the Company was enhanced by a decrease in revenue outstanding which comprises of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delivery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2017 was 47 days compared to 50 days at December 31, 2016. The number of days revenue outstanding at March 31, 2016 was 47 days compared to 41 days at December 31, 2015.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7"/>
          <w:szCs w:val="17"/>
          <w:color w:val="auto"/>
        </w:rPr>
        <w:t>Net cash used in investing activities was $21.6 million for the three months ended March 31, 2017 compared to net cash used in investing activities of $7.6 million for the three months ended March 31, 2016. Net cash used in the three months ended March 31, 2017 relates to capital expenditure of $8.2 million, which was mainly comprised of investment in facilities and IT infrastructure. During the three months ended March 31, 2017 $18.0 million was used for the purchase of short term investments and $4.7 million was generated by the sale of short term investments. Net cash used in investing activities during the three months ended March 31, 2016 principally relates to capital expenditure of $7.7 million, which mainly comprised of expenditure on global infrastructure and information technology systems to support the Company’s growth.</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during the three months ended March 31, 2017 amounted to $93.7 million compared to net cash provided by financing activities of $5.3 million for the three months ended March 31, 2016. Cash outflows in respect of financing includes cash payments in respect of the Company’s share repurchase program totaling $96.5 million during the three months ended March 31, 2017. In addition, $2.8 million was received by the Company from the exercise of share options. During the three months ended March 31, 2016, $1.1 million was received from the exercise of share options and $4.2 million was recognized in relation to the tax benefit from the exercise of share options.</w:t>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these cash flows, cash and cash equivalents increased by $44.8 million for the three months ended March 31, 2017 compared to an increase of $57.4 million for the three months ended March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/s/Brendan Brennan</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4560" w:type="dxa"/>
            <w:vAlign w:val="bottom"/>
          </w:tcPr>
          <w:p>
            <w:pPr>
              <w:spacing w:after="0"/>
              <w:rPr>
                <w:sz w:val="2"/>
                <w:szCs w:val="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Date: April 27, 2017</w:t>
            </w:r>
          </w:p>
        </w:tc>
        <w:tc>
          <w:tcPr>
            <w:tcW w:w="456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60" w:type="dxa"/>
            <w:vAlign w:val="bottom"/>
          </w:tcPr>
          <w:p>
            <w:pPr>
              <w:jc w:val="right"/>
              <w:ind w:right="2110"/>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2019-12-06T09:26:23Z</dcterms:created>
  <dcterms:modified xsi:type="dcterms:W3CDTF">2019-12-06T09:26:23Z</dcterms:modified>
</cp:coreProperties>
</file>