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ended May, 2013</w:t>
      </w:r>
    </w:p>
    <w:p>
      <w:pPr>
        <w:spacing w:after="0" w:line="234"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59"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2013 we had approximately 10,200 employees, in 79 locations in 37 countries. During the three months ended March 31, 2013, we derived approximately 42.8%, 46.1% and 11.1% of our net revenue in the United States, Europe and Rest of World, respectively.</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February 15, 2013 the Company acquired the Clinical Trial Services division of Cross Country Healthcare, Inc. Cross Country Healthcare’s Clinical Trial Services division includes US resourcing providers, ClinForce and Assent Consulting, whose services include contract staffing, permanent placement and functional service provision. The division also includes AKOS, a leading US and EU provider of pharmacovigilance and drug safety services. ClinForce and Assent will be combined with ICON’s FSP division, DOCS, creating a leader in global resourcing and FSP, while AKOS will enhance the services offered by ICON’s medical and safety services team </w:t>
      </w:r>
      <w:r>
        <w:rPr>
          <w:rFonts w:ascii="Arial" w:cs="Arial" w:eastAsia="Arial" w:hAnsi="Arial"/>
          <w:sz w:val="17"/>
          <w:szCs w:val="17"/>
          <w:i w:val="1"/>
          <w:iCs w:val="1"/>
          <w:color w:val="auto"/>
        </w:rPr>
        <w:t>(see note 3 Business Combinations for further information).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March 31, 2013 AND DECEMBER 31, 2012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(Unaudited)</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(Audited)</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220"/>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24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137,377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114,047</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3,750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 term investments - available for sale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59,379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76,183</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261,062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285,419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Unbilled revenue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115,431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112,483</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18,298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13,387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asset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21,394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20,574</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Prepayments and other current assets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22,402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23,155</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Income taxes receivable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16,645</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18,500</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655,738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663,748</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162,629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168,373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354,175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315,441</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other assets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6,075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5,584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income taxes receivable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15,349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9,506</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deferred tax asset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5,080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5,009</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32,174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34,447</w:t>
            </w:r>
          </w:p>
        </w:tc>
      </w:tr>
      <w:tr>
        <w:trPr>
          <w:trHeight w:val="216"/>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1,231,220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1,202,108</w:t>
            </w:r>
          </w:p>
        </w:tc>
      </w:tr>
      <w:tr>
        <w:trPr>
          <w:trHeight w:val="21"/>
        </w:trPr>
        <w:tc>
          <w:tcPr>
            <w:tcW w:w="2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6,793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8,149</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Payments on account</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221,720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219,467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191,536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181,092</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7,283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4,570</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427,398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413,422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other liabilities</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14,318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14,312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government grants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income taxes payable</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7,860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5,650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liability</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12,386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12,722</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60,543,753 shares issued and outstanding at March 31, 2013 and</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60,287,498 shares issued and outstanding at December 31, 2012</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5,088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5,067</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244,644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237,217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redemption reserve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(21,912)</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(8,776)</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540,012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520,967</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767,932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754,575</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1,231,220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1,202,108</w:t>
            </w: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2013 AND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9"/>
          </w:tcPr>
          <w:p>
            <w:pPr>
              <w:jc w:val="right"/>
              <w:ind w:right="5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March 31,</w:t>
            </w:r>
          </w:p>
        </w:tc>
        <w:tc>
          <w:tcPr>
            <w:tcW w:w="280" w:type="dxa"/>
            <w:vAlign w:val="bottom"/>
          </w:tcPr>
          <w:p>
            <w:pPr>
              <w:spacing w:after="0"/>
              <w:rPr>
                <w:sz w:val="17"/>
                <w:szCs w:val="17"/>
                <w:color w:val="auto"/>
              </w:rPr>
            </w:pPr>
          </w:p>
        </w:tc>
        <w:tc>
          <w:tcPr>
            <w:tcW w:w="10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40" w:type="dxa"/>
            <w:vAlign w:val="bottom"/>
            <w:gridSpan w:val="11"/>
          </w:tcPr>
          <w:p>
            <w:pPr>
              <w:jc w:val="right"/>
              <w:ind w:right="340"/>
              <w:spacing w:after="0"/>
              <w:rPr>
                <w:sz w:val="20"/>
                <w:szCs w:val="20"/>
                <w:color w:val="auto"/>
              </w:rPr>
            </w:pPr>
            <w:r>
              <w:rPr>
                <w:rFonts w:ascii="Arial" w:cs="Arial" w:eastAsia="Arial" w:hAnsi="Arial"/>
                <w:sz w:val="18"/>
                <w:szCs w:val="18"/>
                <w:b w:val="1"/>
                <w:bCs w:val="1"/>
                <w:color w:val="auto"/>
                <w:w w:val="89"/>
              </w:rPr>
              <w:t>(in thousands except share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9"/>
          </w:tcPr>
          <w:p>
            <w:pPr>
              <w:jc w:val="right"/>
              <w:ind w:right="580"/>
              <w:spacing w:after="0"/>
              <w:rPr>
                <w:sz w:val="20"/>
                <w:szCs w:val="20"/>
                <w:color w:val="auto"/>
              </w:rPr>
            </w:pPr>
            <w:r>
              <w:rPr>
                <w:rFonts w:ascii="Arial" w:cs="Arial" w:eastAsia="Arial" w:hAnsi="Arial"/>
                <w:sz w:val="18"/>
                <w:szCs w:val="18"/>
                <w:b w:val="1"/>
                <w:bCs w:val="1"/>
                <w:color w:val="auto"/>
                <w:w w:val="95"/>
              </w:rPr>
              <w:t>and per share data)</w:t>
            </w:r>
          </w:p>
        </w:tc>
        <w:tc>
          <w:tcPr>
            <w:tcW w:w="0" w:type="dxa"/>
            <w:vAlign w:val="bottom"/>
          </w:tcPr>
          <w:p>
            <w:pPr>
              <w:spacing w:after="0"/>
              <w:rPr>
                <w:sz w:val="1"/>
                <w:szCs w:val="1"/>
                <w:color w:val="auto"/>
              </w:rPr>
            </w:pP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419,059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343,055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Reimbursable expenses</w:t>
            </w:r>
          </w:p>
        </w:tc>
        <w:tc>
          <w:tcPr>
            <w:tcW w:w="10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(102,270)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(90,722)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Net revenue</w:t>
            </w:r>
          </w:p>
        </w:tc>
        <w:tc>
          <w:tcPr>
            <w:tcW w:w="10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316,789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252,333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Costs and expenses: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costs</w:t>
            </w:r>
          </w:p>
        </w:tc>
        <w:tc>
          <w:tcPr>
            <w:tcW w:w="10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202,361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02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75,564</w:t>
            </w: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67,515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Restructuring and other items</w:t>
            </w: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4,412</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 costs and expenses</w:t>
            </w: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293,793</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240,601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20" w:type="dxa"/>
            <w:vAlign w:val="bottom"/>
          </w:tcPr>
          <w:p>
            <w:pPr>
              <w:spacing w:after="0"/>
              <w:rPr>
                <w:sz w:val="18"/>
                <w:szCs w:val="18"/>
                <w:color w:val="auto"/>
              </w:rPr>
            </w:pPr>
          </w:p>
        </w:tc>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22,996</w:t>
            </w: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11,732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(366)</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22,811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11,697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(3,766)</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19,045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8,971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0.32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60,404,242</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60,086,104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61,323,594</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60,708,469</w:t>
            </w:r>
          </w:p>
        </w:tc>
        <w:tc>
          <w:tcPr>
            <w:tcW w:w="0" w:type="dxa"/>
            <w:vAlign w:val="bottom"/>
          </w:tcPr>
          <w:p>
            <w:pPr>
              <w:spacing w:after="0"/>
              <w:rPr>
                <w:sz w:val="1"/>
                <w:szCs w:val="1"/>
                <w:color w:val="auto"/>
              </w:rPr>
            </w:pPr>
          </w:p>
        </w:tc>
      </w:tr>
      <w:tr>
        <w:trPr>
          <w:trHeight w:val="453"/>
        </w:trPr>
        <w:tc>
          <w:tcPr>
            <w:tcW w:w="7960" w:type="dxa"/>
            <w:vAlign w:val="bottom"/>
            <w:gridSpan w:val="2"/>
          </w:tcPr>
          <w:p>
            <w:pPr>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960" w:type="dxa"/>
            <w:vAlign w:val="bottom"/>
            <w:gridSpan w:val="2"/>
          </w:tcPr>
          <w:p>
            <w:pPr>
              <w:jc w:val="right"/>
              <w:ind w:right="2110"/>
              <w:spacing w:after="0"/>
              <w:rPr>
                <w:sz w:val="20"/>
                <w:szCs w:val="20"/>
                <w:color w:val="auto"/>
              </w:rPr>
            </w:pPr>
            <w:r>
              <w:rPr>
                <w:rFonts w:ascii="Arial" w:cs="Arial" w:eastAsia="Arial" w:hAnsi="Arial"/>
                <w:sz w:val="18"/>
                <w:szCs w:val="18"/>
                <w:color w:val="auto"/>
              </w:rPr>
              <w:t>4</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2013 AND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31,</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4"/>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19,045</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9,712</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1,744</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Amortization of grants</w:t>
            </w: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compensation expense</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2,394</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(1,447)</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Decrease in accounts receivable</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28,841</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unbilled revenue</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1,230</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 /decrease in other receivables</w:t>
            </w: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(5,723)</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prepayments and other current assets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665</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 in other non current assets</w:t>
            </w: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(489)</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payments on account</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3,179</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Increase/(decrease) in other current liabilities</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9,994</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other non-current liabilities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(Decrease)/increase in income taxes payable</w:t>
            </w: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Increase in accounts payable</w:t>
            </w:r>
          </w:p>
        </w:tc>
        <w:tc>
          <w:tcPr>
            <w:tcW w:w="1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423</w:t>
            </w: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69,371</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60,646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Purchase of subsidiary undertakings</w:t>
            </w: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(51,897)</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acquired with subsidiary undertakings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1,039</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1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(22,274)</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short term investments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39,071</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Change in restricted cash, net</w:t>
            </w:r>
          </w:p>
        </w:tc>
        <w:tc>
          <w:tcPr>
            <w:tcW w:w="1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(47,203)</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Proceeds from exercise of share options</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4,862</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issuance costs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Tax benefit from the exercise of share options</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ordinary shares</w:t>
            </w: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Share repurchase costs</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Drawdown of bank credit lines and loan facilities</w:t>
            </w:r>
          </w:p>
        </w:tc>
        <w:tc>
          <w:tcPr>
            <w:tcW w:w="1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5,054</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exchange rate movements on cash</w:t>
            </w:r>
          </w:p>
        </w:tc>
        <w:tc>
          <w:tcPr>
            <w:tcW w:w="1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23,330</w:t>
            </w:r>
          </w:p>
        </w:tc>
        <w:tc>
          <w:tcPr>
            <w:tcW w:w="5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114,047</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119,237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137,377</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128,845</w:t>
            </w:r>
          </w:p>
        </w:tc>
        <w:tc>
          <w:tcPr>
            <w:tcW w:w="0" w:type="dxa"/>
            <w:vAlign w:val="bottom"/>
          </w:tcPr>
          <w:p>
            <w:pPr>
              <w:spacing w:after="0"/>
              <w:rPr>
                <w:sz w:val="1"/>
                <w:szCs w:val="1"/>
                <w:color w:val="auto"/>
              </w:rPr>
            </w:pPr>
          </w:p>
        </w:tc>
      </w:tr>
      <w:tr>
        <w:trPr>
          <w:trHeight w:val="453"/>
        </w:trPr>
        <w:tc>
          <w:tcPr>
            <w:tcW w:w="7960" w:type="dxa"/>
            <w:vAlign w:val="bottom"/>
            <w:gridSpan w:val="2"/>
          </w:tcPr>
          <w:p>
            <w:pPr>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7960" w:type="dxa"/>
            <w:vAlign w:val="bottom"/>
            <w:gridSpan w:val="2"/>
          </w:tcPr>
          <w:p>
            <w:pPr>
              <w:jc w:val="right"/>
              <w:ind w:right="2110"/>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Accumulated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97"/>
              </w:rPr>
              <w:t>Additional</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w w:val="89"/>
              </w:rPr>
              <w:t>Capital</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9"/>
              </w:rPr>
              <w:t>Paid-in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8"/>
              </w:rPr>
              <w:t>Redemption</w:t>
            </w:r>
          </w:p>
        </w:tc>
        <w:tc>
          <w:tcPr>
            <w:tcW w:w="132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6"/>
              </w:rPr>
              <w:t>Comprehensive</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9"/>
              </w:rPr>
              <w:t>Retained</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w w:val="83"/>
              </w:rPr>
              <w:t>Shares</w:t>
            </w:r>
          </w:p>
        </w:tc>
        <w:tc>
          <w:tcPr>
            <w:tcW w:w="280" w:type="dxa"/>
            <w:vAlign w:val="bottom"/>
          </w:tcPr>
          <w:p>
            <w:pPr>
              <w:spacing w:after="0"/>
              <w:rPr>
                <w:sz w:val="17"/>
                <w:szCs w:val="17"/>
                <w:color w:val="auto"/>
              </w:rPr>
            </w:pPr>
          </w:p>
        </w:tc>
        <w:tc>
          <w:tcPr>
            <w:tcW w:w="84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Capital</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rPr>
              <w:t>Reserve</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95"/>
              </w:rPr>
              <w:t>Income</w:t>
            </w: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96"/>
              </w:rPr>
              <w:t>Earnings</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80" w:type="dxa"/>
            <w:vAlign w:val="bottom"/>
            <w:gridSpan w:val="13"/>
          </w:tcPr>
          <w:p>
            <w:pPr>
              <w:jc w:val="right"/>
              <w:ind w:right="420"/>
              <w:spacing w:after="0"/>
              <w:rPr>
                <w:sz w:val="20"/>
                <w:szCs w:val="20"/>
                <w:color w:val="auto"/>
              </w:rPr>
            </w:pPr>
            <w:r>
              <w:rPr>
                <w:rFonts w:ascii="Arial" w:cs="Arial" w:eastAsia="Arial" w:hAnsi="Arial"/>
                <w:sz w:val="18"/>
                <w:szCs w:val="18"/>
                <w:b w:val="1"/>
                <w:bCs w:val="1"/>
                <w:color w:val="auto"/>
                <w:w w:val="89"/>
              </w:rPr>
              <w:t>(dollars in thousands, except share data)</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116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60,287,498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5,067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237,217</w:t>
            </w:r>
          </w:p>
        </w:tc>
        <w:tc>
          <w:tcPr>
            <w:tcW w:w="1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520,967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754,575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19,045</w:t>
            </w:r>
          </w:p>
        </w:tc>
        <w:tc>
          <w:tcPr>
            <w:tcW w:w="3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(9,537)</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Currency impact of long term funding</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(3,409)</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on currency impact of long term</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funding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capital gain - investments</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(13,136)</w:t>
            </w:r>
          </w:p>
        </w:tc>
        <w:tc>
          <w:tcPr>
            <w:tcW w:w="2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19,045</w:t>
            </w:r>
          </w:p>
        </w:tc>
        <w:tc>
          <w:tcPr>
            <w:tcW w:w="3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432"/>
        </w:trPr>
        <w:tc>
          <w:tcPr>
            <w:tcW w:w="3040" w:type="dxa"/>
            <w:vAlign w:val="bottom"/>
            <w:gridSpan w:val="2"/>
          </w:tcPr>
          <w:p>
            <w:pPr>
              <w:spacing w:after="0"/>
              <w:rPr>
                <w:sz w:val="20"/>
                <w:szCs w:val="20"/>
                <w:color w:val="auto"/>
              </w:rPr>
            </w:pPr>
            <w:r>
              <w:rPr>
                <w:rFonts w:ascii="Arial" w:cs="Arial" w:eastAsia="Arial" w:hAnsi="Arial"/>
                <w:sz w:val="18"/>
                <w:szCs w:val="18"/>
                <w:color w:val="auto"/>
              </w:rPr>
              <w:t>Exercise of share options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256,255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4,841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Issue of ordinary shares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 issuance costs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w w:val="95"/>
              </w:rPr>
              <w:t>Non-cash stock compensation expense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 on exercise of options</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2013</w:t>
            </w:r>
          </w:p>
        </w:tc>
        <w:tc>
          <w:tcPr>
            <w:tcW w:w="116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60,543,753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5,088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244,644</w:t>
            </w:r>
          </w:p>
        </w:tc>
        <w:tc>
          <w:tcPr>
            <w:tcW w:w="1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(21,912)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540,012</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767,932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March 31, 2013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2012. Operating results for the three months ended March 31, 2013 are not necessarily indicative of the results that may be expected for the fiscal period ending December 31,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5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March 31,</w:t>
            </w:r>
          </w:p>
        </w:tc>
        <w:tc>
          <w:tcPr>
            <w:tcW w:w="16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48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5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315,441</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253,393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53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45,802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w:t>
            </w:r>
          </w:p>
        </w:tc>
        <w:tc>
          <w:tcPr>
            <w:tcW w:w="5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5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(7,068)</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Closing balance</w:t>
            </w:r>
          </w:p>
        </w:tc>
        <w:tc>
          <w:tcPr>
            <w:tcW w:w="5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354,175</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8"/>
              </w:rPr>
              <w:t>315,441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300" w:type="dxa"/>
            <w:vAlign w:val="bottom"/>
          </w:tcPr>
          <w:p>
            <w:pPr>
              <w:jc w:val="right"/>
              <w:ind w:right="333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 Clinical Trial Services Division of Cross Country Healthcare, Inc.</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15, 2013 the Company acquired the clinical trial services division of Cross Country Healthcare Inc. for an initial cash consideration of $51.9 million. Further consideration of up to $3.75 million may become payable if certain performance milestones are achieved during the period ended December 31, 2013. Cross Country Healthcare’s Clinical Trial Services division includes US resourcing providers, ClinForce and Assent Consulting, whose services include contract staffing, permanent placement and functional service provision. The division also includes AKOS, a leading US and EU provider of pharmacovigilance and drug safety services. ClinForce and Assent will be combined with ICON’s FSP division, DOCS, creating a leader in global resourcing and FSP, while AKOS will enhance the services offered by ICON’s medical and safety services team. At March 31, 2013 the Company has recorded a liability of $3.75 million in respect of the additional consideration. At March 31, 2013 $3.75 million was held in escrow in relation to additional amounts potentially payable under the acquisition, and this is presented as resticted cash on the condensed consolidated balance sheet.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of the clinical trial services division of Cross Country Healthcare, Inc has been accounted for as a business combination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FASB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following table summarizes the estimated fair values of the assets acquired and the liabilities assumed: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70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Goodwill*</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Accounts receivable</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taxes payable</w:t>
            </w:r>
          </w:p>
        </w:tc>
        <w:tc>
          <w:tcPr>
            <w:tcW w:w="5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Liability arising from contingent consideration arrangement</w:t>
            </w:r>
          </w:p>
        </w:tc>
        <w:tc>
          <w:tcPr>
            <w:tcW w:w="5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5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5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w w:val="93"/>
              </w:rPr>
              <w:t>Liabilities included in preliminary purchase price allocation</w:t>
            </w:r>
          </w:p>
        </w:tc>
        <w:tc>
          <w:tcPr>
            <w:tcW w:w="5960" w:type="dxa"/>
            <w:vAlign w:val="bottom"/>
          </w:tcPr>
          <w:p>
            <w:pPr>
              <w:jc w:val="right"/>
              <w:ind w:right="5690"/>
              <w:spacing w:after="0" w:line="201" w:lineRule="exact"/>
              <w:rPr>
                <w:sz w:val="20"/>
                <w:szCs w:val="20"/>
                <w:color w:val="auto"/>
              </w:rPr>
            </w:pPr>
            <w:r>
              <w:rPr>
                <w:rFonts w:ascii="Arial" w:cs="Arial" w:eastAsia="Arial" w:hAnsi="Arial"/>
                <w:sz w:val="18"/>
                <w:szCs w:val="18"/>
                <w:color w:val="auto"/>
                <w:w w:val="99"/>
              </w:rPr>
              <w:t>re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59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51,897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the clinical research industry, thereby allowing the Company to enhance its capabilities in global resourcing and FSP and also medical and safety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Acquisition of PriceSpective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28, 2012 the Company acquired 100% of the common stock of PriceSpective LLC (PriceSpective) strategy consulting company for an initial cash consideration of $37.1 million. Headquartered in Philadelphia, and with offices in London, Los Angeles, San Diego, Raleigh and Boston, PriceSpective is a premier consultancy that has a strong reputation for excellence in strategic pricing, market access, Health Economics and Outcomes Research (“HEOR”), due diligence support and payer engagement services. Since PriceSpective’s incorporation in 2003, it has developed strategies for dozens of new product launches, and hundreds of development and in-market products, across 40+ disease areas. Further consideration of up to $15.0 million was payable if certain performance milestones were achieved in respect of periods up to December 31, 2012. On August 13, 2012 the Company paid $5.0 million in relation to performance milestones for the year ended December 31, 2011. At March 31, 2013 the Company has recorded a liability of $10.0 million in respect of the milestones for the year ended December 31, 2012.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 xml:space="preserve">The acquisition of PriceSpective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summarizes the estimated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70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Goodwill*</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non-compete arrangements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Unbilled revenue</w:t>
            </w:r>
          </w:p>
        </w:tc>
        <w:tc>
          <w:tcPr>
            <w:tcW w:w="59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liabilities</w:t>
            </w:r>
          </w:p>
        </w:tc>
        <w:tc>
          <w:tcPr>
            <w:tcW w:w="59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Liability arising from contingent consideration arrangement</w:t>
            </w:r>
          </w:p>
        </w:tc>
        <w:tc>
          <w:tcPr>
            <w:tcW w:w="5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5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37,098</w:t>
            </w:r>
          </w:p>
        </w:tc>
        <w:tc>
          <w:tcPr>
            <w:tcW w:w="0" w:type="dxa"/>
            <w:vAlign w:val="bottom"/>
          </w:tcPr>
          <w:p>
            <w:pPr>
              <w:spacing w:after="0"/>
              <w:rPr>
                <w:sz w:val="1"/>
                <w:szCs w:val="1"/>
                <w:color w:val="auto"/>
              </w:rPr>
            </w:pPr>
          </w:p>
        </w:tc>
      </w:tr>
      <w:tr>
        <w:trPr>
          <w:trHeight w:val="21"/>
        </w:trPr>
        <w:tc>
          <w:tcPr>
            <w:tcW w:w="4360" w:type="dxa"/>
            <w:vAlign w:val="bottom"/>
            <w:gridSpan w:val="2"/>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18"/>
                <w:szCs w:val="18"/>
                <w:color w:val="auto"/>
              </w:rPr>
            </w:pPr>
          </w:p>
        </w:tc>
        <w:tc>
          <w:tcPr>
            <w:tcW w:w="59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Cash consideration</w:t>
            </w:r>
          </w:p>
        </w:tc>
        <w:tc>
          <w:tcPr>
            <w:tcW w:w="59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5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59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w w:val="93"/>
              </w:rPr>
              <w:t>Liabilities included in preliminary purchase price allocation</w:t>
            </w:r>
          </w:p>
        </w:tc>
        <w:tc>
          <w:tcPr>
            <w:tcW w:w="5960" w:type="dxa"/>
            <w:vAlign w:val="bottom"/>
          </w:tcPr>
          <w:p>
            <w:pPr>
              <w:jc w:val="right"/>
              <w:ind w:right="5690"/>
              <w:spacing w:after="0" w:line="201" w:lineRule="exact"/>
              <w:rPr>
                <w:sz w:val="20"/>
                <w:szCs w:val="20"/>
                <w:color w:val="auto"/>
              </w:rPr>
            </w:pPr>
            <w:r>
              <w:rPr>
                <w:rFonts w:ascii="Arial" w:cs="Arial" w:eastAsia="Arial" w:hAnsi="Arial"/>
                <w:sz w:val="18"/>
                <w:szCs w:val="18"/>
                <w:color w:val="auto"/>
                <w:w w:val="99"/>
              </w:rPr>
              <w:t>re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59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37,098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strategic pricing, market access, HEOR, due diligence support and payer engagement services. Goodwill related to the US portion of the business acquired is tax deductible.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Acquisition of BeijingWits Medical</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15, 2012 the Company acquired 100% of the common stock of BeijingWits Medical Consulting Co. Limited (BeijingWits Medical), a leading Chinese CRO, for an initial cash consideration of $9.0 million. BeijingWits Medical offers full-service clinical development capabilities and has a strong track record in clinical trial execution in China. It is a renowned expert in Chinese regulatory processes and a leading advocate of International Conference on Harmonisation Good Clinical Practice (“ICH GCP”) in China. In addition to boosting the Company’s service capabilities in the region, BeijingWits Medical will also strengthen the Company’s presence through the addition of over 100 highly qualified and experienced professionals in Beijing, Shanghai, Chengdu, Guangzhou, Wuhan and Hong Kong. Further consideration of up to $7.0 million may become payable if certain performance milestones are achieved in respect of periods up to December 31, 2013. At March 31, 2013 the Company has recorded a liability of $7.0 million in respect of the additional consideration.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right="140"/>
        <w:spacing w:after="0" w:line="277" w:lineRule="auto"/>
        <w:rPr>
          <w:sz w:val="20"/>
          <w:szCs w:val="20"/>
          <w:color w:val="auto"/>
        </w:rPr>
      </w:pPr>
      <w:r>
        <w:rPr>
          <w:rFonts w:ascii="Arial" w:cs="Arial" w:eastAsia="Arial" w:hAnsi="Arial"/>
          <w:sz w:val="18"/>
          <w:szCs w:val="18"/>
          <w:color w:val="auto"/>
        </w:rPr>
        <w:t xml:space="preserve">The acquisition of BeijingWits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following table summarizes the estimated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4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Goodwill*</w:t>
            </w: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non-compete arrangements</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Unbilled revenue</w:t>
            </w:r>
          </w:p>
        </w:tc>
        <w:tc>
          <w:tcPr>
            <w:tcW w:w="29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9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Liability arising from contingent consideration arrangement</w:t>
            </w:r>
          </w:p>
        </w:tc>
        <w:tc>
          <w:tcPr>
            <w:tcW w:w="2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Contingent consideration</w:t>
            </w:r>
          </w:p>
        </w:tc>
        <w:tc>
          <w:tcPr>
            <w:tcW w:w="2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Amount of total consideration</w:t>
            </w:r>
          </w:p>
        </w:tc>
        <w:tc>
          <w:tcPr>
            <w:tcW w:w="29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spacing w:after="0" w:line="201" w:lineRule="exact"/>
              <w:rPr>
                <w:sz w:val="20"/>
                <w:szCs w:val="20"/>
                <w:color w:val="auto"/>
              </w:rPr>
            </w:pPr>
            <w:r>
              <w:rPr>
                <w:rFonts w:ascii="Arial" w:cs="Arial" w:eastAsia="Arial" w:hAnsi="Arial"/>
                <w:sz w:val="18"/>
                <w:szCs w:val="18"/>
                <w:color w:val="auto"/>
              </w:rPr>
              <w:t>Liabilities included in preliminary purchase price allocation re</w:t>
            </w:r>
          </w:p>
        </w:tc>
        <w:tc>
          <w:tcPr>
            <w:tcW w:w="2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34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29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8"/>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clinical trial execution and regulatory processes in China and is not tax deductible.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items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other items recognized comprise: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40" w:type="dxa"/>
            <w:vAlign w:val="bottom"/>
            <w:gridSpan w:val="9"/>
          </w:tcPr>
          <w:p>
            <w:pPr>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March</w:t>
            </w:r>
          </w:p>
        </w:tc>
        <w:tc>
          <w:tcPr>
            <w:tcW w:w="74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March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20" w:type="dxa"/>
            <w:vAlign w:val="bottom"/>
            <w:gridSpan w:val="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3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3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4,412</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Restructuring charges of $4.4 million were recognized during three months ended March 31, 2013 under a restructuring plan adopted following a review by the Company of its operations. Under this restructuring plan the Company announced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The restructuring charge recognized included $0.5 million in respect of lease termination costs associated with the Omaha facility and $3.9 million in respect of resource rationalizations.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Details of the movement in this restructuring plan recognized are as follows:</w:t>
            </w: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46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Office</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Consolidations</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(in thousands)</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recognized</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3,903</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Cash payments</w:t>
            </w:r>
          </w:p>
        </w:tc>
        <w:tc>
          <w:tcPr>
            <w:tcW w:w="1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(2,120)</w:t>
            </w:r>
          </w:p>
        </w:tc>
        <w:tc>
          <w:tcPr>
            <w:tcW w:w="4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1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March 31, 2013</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1,774</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509</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Restructuring charges of $4.5 million were recorded during year ended December 31, 2012 (inclusive of the release of $0.1 million relating to the 2011 Restructuring Plans) under a restructuring plan (“the 2012 restructuring plan”) adopted following a review by the Company of its operations. The 2012 restructuring plan included resource rationalizations in certain areas of the business and a re-organization of available office space at the Company’s Philadelphia facility. The restructuring plan recognized included $3.4 million in respect of resource rationalizations and $1.2 million in respect of lease termination and exit costs associated with the re-organization of available space at the Company’s Philadelphia facility.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w w:val="96"/>
              </w:rPr>
              <w:t>Details of the movement in the 2012 restructuring plan are as follows:</w:t>
            </w:r>
          </w:p>
        </w:tc>
        <w:tc>
          <w:tcPr>
            <w:tcW w:w="2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Office</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Consolidations</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Initial provision recognized</w:t>
            </w:r>
          </w:p>
        </w:tc>
        <w:tc>
          <w:tcPr>
            <w:tcW w:w="2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3,394</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1,250</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Cash payments</w:t>
            </w:r>
          </w:p>
        </w:tc>
        <w:tc>
          <w:tcPr>
            <w:tcW w:w="2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(3,030)</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2012</w:t>
            </w:r>
          </w:p>
        </w:tc>
        <w:tc>
          <w:tcPr>
            <w:tcW w:w="2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360</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426</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March 31, 2013</w:t>
            </w:r>
          </w:p>
        </w:tc>
        <w:tc>
          <w:tcPr>
            <w:tcW w:w="2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203</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300" w:type="dxa"/>
            <w:vAlign w:val="bottom"/>
          </w:tcPr>
          <w:p>
            <w:pPr>
              <w:jc w:val="right"/>
              <w:ind w:right="1750"/>
              <w:spacing w:after="0"/>
              <w:rPr>
                <w:sz w:val="20"/>
                <w:szCs w:val="20"/>
                <w:color w:val="auto"/>
              </w:rPr>
            </w:pPr>
            <w:r>
              <w:rPr>
                <w:rFonts w:ascii="Arial" w:cs="Arial" w:eastAsia="Arial" w:hAnsi="Arial"/>
                <w:sz w:val="18"/>
                <w:szCs w:val="18"/>
                <w:color w:val="auto"/>
              </w:rPr>
              <w:t>11</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5. Income Taxes</w:t>
            </w: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00" w:type="dxa"/>
            <w:vAlign w:val="bottom"/>
            <w:gridSpan w:val="2"/>
          </w:tcPr>
          <w:p>
            <w:pPr>
              <w:spacing w:after="0"/>
              <w:rPr>
                <w:sz w:val="20"/>
                <w:szCs w:val="20"/>
                <w:color w:val="auto"/>
              </w:rPr>
            </w:pPr>
            <w:r>
              <w:rPr>
                <w:rFonts w:ascii="Arial" w:cs="Arial" w:eastAsia="Arial" w:hAnsi="Arial"/>
                <w:sz w:val="18"/>
                <w:szCs w:val="18"/>
                <w:color w:val="auto"/>
              </w:rPr>
              <w:t>Income taxes recognized during the three months ended March 31, 2013 comprise:</w:t>
            </w: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2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March 31,</w:t>
            </w:r>
          </w:p>
        </w:tc>
        <w:tc>
          <w:tcPr>
            <w:tcW w:w="300" w:type="dxa"/>
            <w:vAlign w:val="bottom"/>
          </w:tcPr>
          <w:p>
            <w:pPr>
              <w:spacing w:after="0"/>
              <w:rPr>
                <w:sz w:val="17"/>
                <w:szCs w:val="17"/>
                <w:color w:val="auto"/>
              </w:rPr>
            </w:pPr>
          </w:p>
        </w:tc>
        <w:tc>
          <w:tcPr>
            <w:tcW w:w="1020" w:type="dxa"/>
            <w:vAlign w:val="bottom"/>
            <w:gridSpan w:val="5"/>
          </w:tcPr>
          <w:p>
            <w:pPr>
              <w:ind w:left="12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before restructuring and other items</w:t>
            </w:r>
          </w:p>
        </w:tc>
        <w:tc>
          <w:tcPr>
            <w:tcW w:w="1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impact of restructuring and other items</w:t>
            </w:r>
          </w:p>
        </w:tc>
        <w:tc>
          <w:tcPr>
            <w:tcW w:w="17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(1,255)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 after restructuring and other items</w:t>
            </w: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3,766</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at March 31, 2013 the Company maintains a $7.8 million liability (December 31, 2012: $8.3 million) for unrecognized tax benefit, which is comprised of $6.6 million (December 31, 2012: $7.2 million) related to items generating unrecognized tax benefits and $1.2 million (December 31, 2012: $1.1 million) for interest and related penalties to such items. The Company recognizes interest accrued on unrecognized tax benefits as an additional income tax expense.</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2008 through 2012 tax years. The Company does not believe that the outcome of any examination will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gridSpan w:val="4"/>
          </w:tcPr>
          <w:p>
            <w:pPr>
              <w:jc w:val="right"/>
              <w:ind w:right="280"/>
              <w:spacing w:after="0" w:line="196" w:lineRule="exact"/>
              <w:rPr>
                <w:sz w:val="20"/>
                <w:szCs w:val="20"/>
                <w:color w:val="auto"/>
              </w:rPr>
            </w:pPr>
            <w:r>
              <w:rPr>
                <w:rFonts w:ascii="Arial" w:cs="Arial" w:eastAsia="Arial" w:hAnsi="Arial"/>
                <w:sz w:val="18"/>
                <w:szCs w:val="18"/>
                <w:b w:val="1"/>
                <w:bCs w:val="1"/>
                <w:color w:val="auto"/>
                <w:w w:val="91"/>
              </w:rPr>
              <w:t>March 31,</w:t>
            </w:r>
          </w:p>
        </w:tc>
        <w:tc>
          <w:tcPr>
            <w:tcW w:w="1180" w:type="dxa"/>
            <w:vAlign w:val="bottom"/>
            <w:gridSpan w:val="5"/>
          </w:tcPr>
          <w:p>
            <w:pPr>
              <w:ind w:left="28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for basic net income per ordinary share</w:t>
            </w:r>
          </w:p>
        </w:tc>
        <w:tc>
          <w:tcPr>
            <w:tcW w:w="21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60,404,242</w:t>
            </w:r>
          </w:p>
        </w:tc>
        <w:tc>
          <w:tcPr>
            <w:tcW w:w="11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60,086,104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dilutive share options outstanding</w:t>
            </w:r>
          </w:p>
        </w:tc>
        <w:tc>
          <w:tcPr>
            <w:tcW w:w="1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919,352</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622,365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number of ordinary shares for diluted net income per ordinary share</w:t>
            </w:r>
          </w:p>
        </w:tc>
        <w:tc>
          <w:tcPr>
            <w:tcW w:w="21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color w:val="auto"/>
              </w:rPr>
              <w:t>61,323,594</w:t>
            </w:r>
          </w:p>
        </w:tc>
        <w:tc>
          <w:tcPr>
            <w:tcW w:w="11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60,708,469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8060" w:type="dxa"/>
            <w:vAlign w:val="bottom"/>
            <w:gridSpan w:val="2"/>
          </w:tcPr>
          <w:p>
            <w:pPr>
              <w:jc w:val="right"/>
              <w:ind w:right="2170"/>
              <w:spacing w:after="0"/>
              <w:rPr>
                <w:sz w:val="20"/>
                <w:szCs w:val="20"/>
                <w:color w:val="auto"/>
              </w:rPr>
            </w:pPr>
            <w:r>
              <w:rPr>
                <w:rFonts w:ascii="Arial" w:cs="Arial" w:eastAsia="Arial" w:hAnsi="Arial"/>
                <w:sz w:val="18"/>
                <w:szCs w:val="18"/>
                <w:color w:val="auto"/>
              </w:rPr>
              <w:t>12</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2013 is eight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three months ended March 31,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4,350,631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9.17</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12,450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11.76</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Exercised</w:t>
            </w:r>
          </w:p>
        </w:tc>
        <w:tc>
          <w:tcPr>
            <w:tcW w:w="3300" w:type="dxa"/>
            <w:vAlign w:val="bottom"/>
          </w:tcPr>
          <w:p>
            <w:pPr>
              <w:jc w:val="right"/>
              <w:spacing w:after="0"/>
              <w:rPr>
                <w:sz w:val="20"/>
                <w:szCs w:val="20"/>
                <w:color w:val="auto"/>
              </w:rPr>
            </w:pPr>
            <w:r>
              <w:rPr>
                <w:rFonts w:ascii="Arial" w:cs="Arial" w:eastAsia="Arial" w:hAnsi="Arial"/>
                <w:sz w:val="18"/>
                <w:szCs w:val="18"/>
                <w:color w:val="auto"/>
              </w:rPr>
              <w:t>(256,255)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18.97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7.71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(167,041)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24.78</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9.80</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March 31, 2013</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3,939,785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23.22</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9.25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March 31, 2013</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2,390,668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24.32</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9.21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00" w:type="dxa"/>
            <w:vAlign w:val="bottom"/>
          </w:tcPr>
          <w:p>
            <w:pPr>
              <w:jc w:val="right"/>
              <w:ind w:right="149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The Company has granted options with fair values ranging from $3.68 to $13.93 per option or a weighted average fair value of $8.71 per option. The Company issues ordinary shares for all options exercised. The total amount of fully vested share options which remained outstanding at March 31, 2013, was 2,390,668. Fully vested share options at March 31, 2013 have an average remaining contractual term of 3.4 years, an average exercise price of $24.32 and a total intrinsic value of $21.4 million. The total intrinsic value of options exercised during the three months ended March 31, 2013, was $3.5 million (March 31, 2012: $0.8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three months ended March 31,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2012</w:t>
            </w:r>
          </w:p>
        </w:tc>
        <w:tc>
          <w:tcPr>
            <w:tcW w:w="3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2,094,533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12,450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Vested</w:t>
            </w:r>
          </w:p>
        </w:tc>
        <w:tc>
          <w:tcPr>
            <w:tcW w:w="3260" w:type="dxa"/>
            <w:vAlign w:val="bottom"/>
          </w:tcPr>
          <w:p>
            <w:pPr>
              <w:jc w:val="right"/>
              <w:spacing w:after="0"/>
              <w:rPr>
                <w:sz w:val="20"/>
                <w:szCs w:val="20"/>
                <w:color w:val="auto"/>
              </w:rPr>
            </w:pPr>
            <w:r>
              <w:rPr>
                <w:rFonts w:ascii="Arial" w:cs="Arial" w:eastAsia="Arial" w:hAnsi="Arial"/>
                <w:sz w:val="18"/>
                <w:szCs w:val="18"/>
                <w:color w:val="auto"/>
              </w:rPr>
              <w:t>(455,900)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25.59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(101,966)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23.34</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March 31, 2013</w:t>
            </w:r>
          </w:p>
        </w:tc>
        <w:tc>
          <w:tcPr>
            <w:tcW w:w="3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1,549,117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fair value of options granted during the periods ended March 31, 2013 and March 31, 2012 was calculated using the Black-Scholes option pricing model. The weighted average fair values and assumptions used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9"/>
          </w:tcPr>
          <w:p>
            <w:pPr>
              <w:jc w:val="right"/>
              <w:ind w:right="6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Assumptions:</w:t>
            </w:r>
          </w:p>
        </w:tc>
        <w:tc>
          <w:tcPr>
            <w:tcW w:w="438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560" w:type="dxa"/>
            <w:vAlign w:val="bottom"/>
          </w:tcPr>
          <w:p>
            <w:pPr>
              <w:spacing w:after="0"/>
              <w:rPr>
                <w:sz w:val="18"/>
                <w:szCs w:val="18"/>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560" w:type="dxa"/>
            <w:vAlign w:val="bottom"/>
          </w:tcPr>
          <w:p>
            <w:pPr>
              <w:spacing w:after="0"/>
              <w:rPr>
                <w:sz w:val="18"/>
                <w:szCs w:val="18"/>
                <w:color w:val="auto"/>
              </w:rPr>
            </w:pP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0.76%</w:t>
            </w:r>
          </w:p>
        </w:tc>
        <w:tc>
          <w:tcPr>
            <w:tcW w:w="280" w:type="dxa"/>
            <w:vAlign w:val="bottom"/>
          </w:tcPr>
          <w:p>
            <w:pPr>
              <w:spacing w:after="0"/>
              <w:rPr>
                <w:sz w:val="18"/>
                <w:szCs w:val="18"/>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5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c>
          <w:tcPr>
            <w:tcW w:w="2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Restricted Share Units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23, 2013 the Company adopted the 2013 Employees Restricted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An aggregate of 1.6 million ordinary shares have been reserved for issuance under the 2013 RSU Plan.</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awarded RSU’s to certain key executives of the Group. The following table summarizes RSU activity for the three months ended March 31,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640" w:type="dxa"/>
            <w:vAlign w:val="bottom"/>
          </w:tcPr>
          <w:p>
            <w:pPr>
              <w:jc w:val="right"/>
              <w:ind w:right="30"/>
              <w:spacing w:after="0"/>
              <w:rPr>
                <w:sz w:val="20"/>
                <w:szCs w:val="20"/>
                <w:color w:val="auto"/>
              </w:rPr>
            </w:pPr>
            <w:r>
              <w:rPr>
                <w:rFonts w:ascii="Arial" w:cs="Arial" w:eastAsia="Arial" w:hAnsi="Arial"/>
                <w:sz w:val="18"/>
                <w:szCs w:val="18"/>
                <w:b w:val="1"/>
                <w:bCs w:val="1"/>
                <w:color w:val="auto"/>
              </w:rPr>
              <w:t>RSU</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640" w:type="dxa"/>
            <w:vAlign w:val="bottom"/>
          </w:tcPr>
          <w:p>
            <w:pPr>
              <w:jc w:val="right"/>
              <w:ind w:right="30"/>
              <w:spacing w:after="0"/>
              <w:rPr>
                <w:sz w:val="20"/>
                <w:szCs w:val="20"/>
                <w:color w:val="auto"/>
              </w:rPr>
            </w:pPr>
            <w:r>
              <w:rPr>
                <w:rFonts w:ascii="Arial" w:cs="Arial" w:eastAsia="Arial" w:hAnsi="Arial"/>
                <w:sz w:val="18"/>
                <w:szCs w:val="18"/>
                <w:b w:val="1"/>
                <w:bCs w:val="1"/>
                <w:color w:val="auto"/>
              </w:rPr>
              <w:t>Outstanding</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64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6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3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496,000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20.26</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18,450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31.49</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Ordinary shares issued</w:t>
            </w:r>
          </w:p>
        </w:tc>
        <w:tc>
          <w:tcPr>
            <w:tcW w:w="3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March 31, 2013</w:t>
            </w:r>
          </w:p>
        </w:tc>
        <w:tc>
          <w:tcPr>
            <w:tcW w:w="3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514,450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20.66</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three months ended March 31, 2013 totalled $0.0 million (2012: $0.0 million).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i w:val="1"/>
                <w:iCs w:val="1"/>
                <w:color w:val="auto"/>
              </w:rPr>
              <w:t>Non-cash stock compensation expense</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480" w:type="dxa"/>
            <w:vAlign w:val="bottom"/>
          </w:tcPr>
          <w:p>
            <w:pPr>
              <w:spacing w:after="0"/>
              <w:rPr>
                <w:sz w:val="20"/>
                <w:szCs w:val="20"/>
                <w:color w:val="auto"/>
              </w:rPr>
            </w:pPr>
            <w:r>
              <w:rPr>
                <w:rFonts w:ascii="Arial" w:cs="Arial" w:eastAsia="Arial" w:hAnsi="Arial"/>
                <w:sz w:val="18"/>
                <w:szCs w:val="18"/>
                <w:color w:val="auto"/>
                <w:w w:val="92"/>
              </w:rPr>
              <w:t>Non-cash stock compensation expense for the three months ended March 31, 2013 has been allocated as follows: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8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80" w:type="dxa"/>
            <w:vAlign w:val="bottom"/>
            <w:gridSpan w:val="11"/>
          </w:tcPr>
          <w:p>
            <w:pPr>
              <w:spacing w:after="0"/>
              <w:rPr>
                <w:sz w:val="20"/>
                <w:szCs w:val="20"/>
                <w:color w:val="auto"/>
              </w:rPr>
            </w:pPr>
            <w:r>
              <w:rPr>
                <w:rFonts w:ascii="Arial" w:cs="Arial" w:eastAsia="Arial" w:hAnsi="Arial"/>
                <w:sz w:val="18"/>
                <w:szCs w:val="18"/>
                <w:b w:val="1"/>
                <w:bCs w:val="1"/>
                <w:color w:val="auto"/>
              </w:rPr>
              <w:t>Three Months Ended</w:t>
            </w:r>
          </w:p>
        </w:tc>
      </w:tr>
      <w:tr>
        <w:trPr>
          <w:trHeight w:val="20"/>
        </w:trPr>
        <w:tc>
          <w:tcPr>
            <w:tcW w:w="8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March</w:t>
            </w:r>
          </w:p>
        </w:tc>
        <w:tc>
          <w:tcPr>
            <w:tcW w:w="74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March</w:t>
            </w:r>
          </w:p>
        </w:tc>
      </w:tr>
      <w:tr>
        <w:trPr>
          <w:trHeight w:val="196"/>
        </w:trPr>
        <w:tc>
          <w:tcPr>
            <w:tcW w:w="8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r>
      <w:tr>
        <w:trPr>
          <w:trHeight w:val="20"/>
        </w:trPr>
        <w:tc>
          <w:tcPr>
            <w:tcW w:w="8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r>
      <w:tr>
        <w:trPr>
          <w:trHeight w:val="20"/>
        </w:trPr>
        <w:tc>
          <w:tcPr>
            <w:tcW w:w="8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w w:val="93"/>
              </w:rPr>
              <w:t>(In thousands)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r>
      <w:tr>
        <w:trPr>
          <w:trHeight w:val="223"/>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1,091</w:t>
            </w:r>
          </w:p>
        </w:tc>
      </w:tr>
      <w:tr>
        <w:trPr>
          <w:trHeight w:val="216"/>
        </w:trPr>
        <w:tc>
          <w:tcPr>
            <w:tcW w:w="8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2,431</w:t>
            </w:r>
          </w:p>
        </w:tc>
      </w:tr>
      <w:tr>
        <w:trPr>
          <w:trHeight w:val="21"/>
        </w:trPr>
        <w:tc>
          <w:tcPr>
            <w:tcW w:w="8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non-cash stock compensation expense not yet recognized at March 31, 2013 amounted to $17.9 million. The weighted average period over which this is expected to be recognized is 3.0 years. Total tax benefit recognized in additional paid in capital related to the non-cash compensation expense amounted to $0.3 million for the three months ended March 31, 2013 (March 31, 2012: $0.4 million).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Business Segment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Enterprises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earns revenues by providing a number of different services to its customers. These services, which are integral elements of the clinical development process, include clinical trials management, biometric activities, consulting, imaging, contract staffing, informatics and laboratory services.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organic growth, together with a number of strategic acquisitions to enhance its expertise and capabilities in certain areas of the clinical development process.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Historically, the Group organized, operated and assessed its business in two segments, the clinical research segment and the central laboratory segment. In 2013 the Group have consolidated and reclassified the results of the former central laboratory segment into the clinical research segment as the central laboratory segment does not reach the thresholds of net revenue, income from operations and total assets as a requirement for being reported as a separate segment. Management have determined that its clinical research and central laboratory businesses operate in the same clinical research market, have a similar customer profile, are subject to the same regulatory environment, support the development of new clinical therapies and are so economically similar, reporting their results on an aggregated basis would be more useful to users of the Company’s financial statements.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areas of operation outside of Ireland include the United States, United Kingdom, France, Germany, Italy, Spain, The Netherlands, Sweden, Belgium, Poland, Czech Republic, Lithuania, Latvia, Russia, Ukraine, Hungary, Israel, Romania, Canada, Mexico, Brazil, Colombia, Argentina, Chile, Peru, India, China, South Korea, Japan, Thailand, Taiwan, Singapore, The Philippines, Australia, New Zealand, and South Africa.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as at March 31, 2013 and December 31, 2012 and for the three months ended March 31, 2013 and March 31, 2012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w w:val="95"/>
              </w:rPr>
              <w:t>a) The distribution of net revenue by geographical area was as follows:</w:t>
            </w: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80" w:type="dxa"/>
            <w:vAlign w:val="bottom"/>
            <w:gridSpan w:val="12"/>
          </w:tcPr>
          <w:p>
            <w:pPr>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4"/>
              </w:rPr>
              <w:t>March</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March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60,994</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28,995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Rest of Europe</w:t>
            </w:r>
          </w:p>
        </w:tc>
        <w:tc>
          <w:tcPr>
            <w:tcW w:w="386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85,036</w:t>
            </w:r>
          </w:p>
        </w:tc>
        <w:tc>
          <w:tcPr>
            <w:tcW w:w="600" w:type="dxa"/>
            <w:vAlign w:val="bottom"/>
          </w:tcPr>
          <w:p>
            <w:pPr>
              <w:spacing w:after="0"/>
              <w:rPr>
                <w:sz w:val="18"/>
                <w:szCs w:val="18"/>
                <w:color w:val="auto"/>
              </w:rPr>
            </w:pPr>
          </w:p>
        </w:tc>
        <w:tc>
          <w:tcPr>
            <w:tcW w:w="760" w:type="dxa"/>
            <w:vAlign w:val="bottom"/>
            <w:gridSpan w:val="6"/>
          </w:tcPr>
          <w:p>
            <w:pPr>
              <w:jc w:val="right"/>
              <w:ind w:right="100"/>
              <w:spacing w:after="0"/>
              <w:rPr>
                <w:sz w:val="20"/>
                <w:szCs w:val="20"/>
                <w:color w:val="auto"/>
              </w:rPr>
            </w:pPr>
            <w:r>
              <w:rPr>
                <w:rFonts w:ascii="Arial" w:cs="Arial" w:eastAsia="Arial" w:hAnsi="Arial"/>
                <w:sz w:val="18"/>
                <w:szCs w:val="18"/>
                <w:color w:val="auto"/>
              </w:rPr>
              <w:t>86,044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8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135,475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w w:val="98"/>
              </w:rPr>
              <w:t>107,747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8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35,284</w:t>
            </w:r>
          </w:p>
        </w:tc>
        <w:tc>
          <w:tcPr>
            <w:tcW w:w="6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29,547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316,789</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w w:val="98"/>
              </w:rPr>
              <w:t>252,333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tcPr>
          <w:p>
            <w:pPr>
              <w:ind w:left="640"/>
              <w:spacing w:after="0"/>
              <w:rPr>
                <w:sz w:val="20"/>
                <w:szCs w:val="20"/>
                <w:color w:val="auto"/>
              </w:rPr>
            </w:pPr>
            <w:r>
              <w:rPr>
                <w:rFonts w:ascii="Arial" w:cs="Arial" w:eastAsia="Arial" w:hAnsi="Arial"/>
                <w:sz w:val="18"/>
                <w:szCs w:val="18"/>
                <w:color w:val="auto"/>
              </w:rPr>
              <w:t>* All sales shown for Ireland are export sales.</w:t>
            </w: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860" w:type="dxa"/>
            <w:vAlign w:val="bottom"/>
          </w:tcPr>
          <w:p>
            <w:pPr>
              <w:jc w:val="right"/>
              <w:ind w:right="335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6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b) The distribution of income from operations, including restructuring and other items,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9"/>
          </w:tcPr>
          <w:p>
            <w:pPr>
              <w:jc w:val="right"/>
              <w:ind w:right="5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March 31,</w:t>
            </w:r>
          </w:p>
        </w:tc>
        <w:tc>
          <w:tcPr>
            <w:tcW w:w="340" w:type="dxa"/>
            <w:vAlign w:val="bottom"/>
          </w:tcPr>
          <w:p>
            <w:pPr>
              <w:spacing w:after="0"/>
              <w:rPr>
                <w:sz w:val="17"/>
                <w:szCs w:val="17"/>
                <w:color w:val="auto"/>
              </w:rPr>
            </w:pPr>
          </w:p>
        </w:tc>
        <w:tc>
          <w:tcPr>
            <w:tcW w:w="10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9"/>
          </w:tcPr>
          <w:p>
            <w:pPr>
              <w:jc w:val="right"/>
              <w:ind w:right="80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12,016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Rest of Europe</w:t>
            </w:r>
          </w:p>
        </w:tc>
        <w:tc>
          <w:tcPr>
            <w:tcW w:w="42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4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22,996</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11,732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The distribution of income from operations, excluding restructuring and other items,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17"/>
                <w:szCs w:val="17"/>
                <w:color w:val="auto"/>
              </w:rPr>
            </w:pPr>
          </w:p>
        </w:tc>
        <w:tc>
          <w:tcPr>
            <w:tcW w:w="116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12,341</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Rest of Europe</w:t>
            </w:r>
          </w:p>
        </w:tc>
        <w:tc>
          <w:tcPr>
            <w:tcW w:w="13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27,408</w:t>
            </w:r>
          </w:p>
        </w:tc>
        <w:tc>
          <w:tcPr>
            <w:tcW w:w="4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11,732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820" w:type="dxa"/>
            <w:vAlign w:val="bottom"/>
            <w:gridSpan w:val="2"/>
          </w:tcPr>
          <w:p>
            <w:pPr>
              <w:spacing w:after="0"/>
              <w:rPr>
                <w:sz w:val="20"/>
                <w:szCs w:val="20"/>
                <w:color w:val="auto"/>
              </w:rPr>
            </w:pPr>
            <w:r>
              <w:rPr>
                <w:rFonts w:ascii="Arial" w:cs="Arial" w:eastAsia="Arial" w:hAnsi="Arial"/>
                <w:sz w:val="18"/>
                <w:szCs w:val="18"/>
                <w:color w:val="auto"/>
              </w:rPr>
              <w:t>d) The distribution of property, plant and equipment, net, by geographical area was as follows:</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24"/>
                <w:szCs w:val="24"/>
                <w:color w:val="auto"/>
              </w:rPr>
            </w:pPr>
          </w:p>
        </w:tc>
        <w:tc>
          <w:tcPr>
            <w:tcW w:w="11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104,952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110,369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Rest of Europe</w:t>
            </w:r>
          </w:p>
        </w:tc>
        <w:tc>
          <w:tcPr>
            <w:tcW w:w="136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14,973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16,115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33,661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9,043</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8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162,629</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8"/>
              </w:rPr>
              <w:t>168,373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7820" w:type="dxa"/>
            <w:vAlign w:val="bottom"/>
            <w:gridSpan w:val="2"/>
          </w:tcPr>
          <w:p>
            <w:pPr>
              <w:jc w:val="right"/>
              <w:ind w:right="1930"/>
              <w:spacing w:after="0"/>
              <w:rPr>
                <w:sz w:val="20"/>
                <w:szCs w:val="20"/>
                <w:color w:val="auto"/>
              </w:rPr>
            </w:pPr>
            <w:r>
              <w:rPr>
                <w:rFonts w:ascii="Arial" w:cs="Arial" w:eastAsia="Arial" w:hAnsi="Arial"/>
                <w:sz w:val="18"/>
                <w:szCs w:val="18"/>
                <w:color w:val="auto"/>
              </w:rPr>
              <w:t>17</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e) The distribution of depreciation and amortization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8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10"/>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 of Europe</w:t>
            </w:r>
          </w:p>
        </w:tc>
        <w:tc>
          <w:tcPr>
            <w:tcW w:w="38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8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340" w:type="dxa"/>
            <w:vAlign w:val="bottom"/>
            <w:gridSpan w:val="2"/>
          </w:tcPr>
          <w:p>
            <w:pPr>
              <w:spacing w:after="0"/>
              <w:rPr>
                <w:sz w:val="20"/>
                <w:szCs w:val="20"/>
                <w:color w:val="auto"/>
              </w:rPr>
            </w:pPr>
            <w:r>
              <w:rPr>
                <w:rFonts w:ascii="Arial" w:cs="Arial" w:eastAsia="Arial" w:hAnsi="Arial"/>
                <w:sz w:val="18"/>
                <w:szCs w:val="18"/>
                <w:color w:val="auto"/>
                <w:w w:val="95"/>
              </w:rPr>
              <w:t>f) The distribution of total assets by geographical area was as follows:</w:t>
            </w:r>
          </w:p>
        </w:tc>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24"/>
                <w:szCs w:val="24"/>
                <w:color w:val="auto"/>
              </w:rPr>
            </w:pPr>
          </w:p>
        </w:tc>
        <w:tc>
          <w:tcPr>
            <w:tcW w:w="116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80" w:type="dxa"/>
            <w:vAlign w:val="bottom"/>
            <w:gridSpan w:val="10"/>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472,932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476,159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 of Europe</w:t>
            </w:r>
          </w:p>
        </w:tc>
        <w:tc>
          <w:tcPr>
            <w:tcW w:w="38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225,901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236,305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8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482,304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437,756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8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50,083</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51,888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1,231,220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1,202,108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840" w:type="dxa"/>
            <w:vAlign w:val="bottom"/>
          </w:tcPr>
          <w:p>
            <w:pPr>
              <w:jc w:val="right"/>
              <w:ind w:right="329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2012.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2013, we had approximately 10,200 employees, in 79 locations in 37 countries. During the three months ended March 31, 2013 we derived approximately 42.8%, 46.1% and 11.1% of our net revenue in the United States, Europe and Rest of World, respectively.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 The Company’s results of operations and cash flows are therefore not materially impacted by project cancellations or delays.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March 31, 2013 we had a backlog of approximately $2.8 billion, compared with approximately $2.8 billion at December 31, 2012.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2013 compared with Three Months Ended March 31, 2012</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8"/>
          </w:tcPr>
          <w:p>
            <w:pPr>
              <w:jc w:val="right"/>
              <w:ind w:right="10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gridSpan w:val="4"/>
          </w:tcPr>
          <w:p>
            <w:pPr>
              <w:jc w:val="right"/>
              <w:ind w:right="400"/>
              <w:spacing w:after="0" w:line="196" w:lineRule="exact"/>
              <w:rPr>
                <w:sz w:val="20"/>
                <w:szCs w:val="20"/>
                <w:color w:val="auto"/>
              </w:rPr>
            </w:pPr>
            <w:r>
              <w:rPr>
                <w:rFonts w:ascii="Arial" w:cs="Arial" w:eastAsia="Arial" w:hAnsi="Arial"/>
                <w:sz w:val="18"/>
                <w:szCs w:val="18"/>
                <w:b w:val="1"/>
                <w:bCs w:val="1"/>
                <w:color w:val="auto"/>
                <w:w w:val="91"/>
              </w:rPr>
              <w:t>March 31,</w:t>
            </w:r>
          </w:p>
        </w:tc>
        <w:tc>
          <w:tcPr>
            <w:tcW w:w="1580" w:type="dxa"/>
            <w:vAlign w:val="bottom"/>
            <w:gridSpan w:val="5"/>
          </w:tcPr>
          <w:p>
            <w:pPr>
              <w:jc w:val="right"/>
              <w:ind w:right="560"/>
              <w:spacing w:after="0" w:line="196" w:lineRule="exact"/>
              <w:rPr>
                <w:sz w:val="20"/>
                <w:szCs w:val="20"/>
                <w:color w:val="auto"/>
              </w:rPr>
            </w:pPr>
            <w:r>
              <w:rPr>
                <w:rFonts w:ascii="Arial" w:cs="Arial" w:eastAsia="Arial" w:hAnsi="Arial"/>
                <w:sz w:val="18"/>
                <w:szCs w:val="18"/>
                <w:b w:val="1"/>
                <w:bCs w:val="1"/>
                <w:color w:val="auto"/>
              </w:rPr>
              <w:t>March 31,</w:t>
            </w: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2013</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160"/>
              <w:spacing w:after="0" w:line="196" w:lineRule="exact"/>
              <w:rPr>
                <w:sz w:val="20"/>
                <w:szCs w:val="20"/>
                <w:color w:val="auto"/>
              </w:rPr>
            </w:pPr>
            <w:r>
              <w:rPr>
                <w:rFonts w:ascii="Arial" w:cs="Arial" w:eastAsia="Arial" w:hAnsi="Arial"/>
                <w:sz w:val="18"/>
                <w:szCs w:val="18"/>
                <w:b w:val="1"/>
                <w:bCs w:val="1"/>
                <w:color w:val="auto"/>
                <w:w w:val="86"/>
              </w:rPr>
              <w:t>to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4"/>
              </w:rPr>
              <w:t>Percentage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4260" w:type="dxa"/>
            <w:vAlign w:val="bottom"/>
            <w:gridSpan w:val="10"/>
          </w:tcPr>
          <w:p>
            <w:pPr>
              <w:jc w:val="right"/>
              <w:ind w:right="800"/>
              <w:spacing w:after="0" w:line="196" w:lineRule="exact"/>
              <w:rPr>
                <w:sz w:val="20"/>
                <w:szCs w:val="20"/>
                <w:color w:val="auto"/>
              </w:rPr>
            </w:pPr>
            <w:r>
              <w:rPr>
                <w:rFonts w:ascii="Arial" w:cs="Arial" w:eastAsia="Arial" w:hAnsi="Arial"/>
                <w:sz w:val="18"/>
                <w:szCs w:val="18"/>
                <w:b w:val="1"/>
                <w:bCs w:val="1"/>
                <w:color w:val="auto"/>
              </w:rPr>
              <w:t>Percentage of Net Revenue</w:t>
            </w:r>
          </w:p>
        </w:tc>
        <w:tc>
          <w:tcPr>
            <w:tcW w:w="200" w:type="dxa"/>
            <w:vAlign w:val="bottom"/>
          </w:tcPr>
          <w:p>
            <w:pPr>
              <w:spacing w:after="0"/>
              <w:rPr>
                <w:sz w:val="17"/>
                <w:szCs w:val="17"/>
                <w:color w:val="auto"/>
              </w:rPr>
            </w:pPr>
          </w:p>
        </w:tc>
        <w:tc>
          <w:tcPr>
            <w:tcW w:w="80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w w:val="84"/>
              </w:rPr>
              <w:t>Increase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68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580" w:type="dxa"/>
            <w:vAlign w:val="bottom"/>
            <w:tcBorders>
              <w:bottom w:val="single" w:sz="8" w:color="auto"/>
            </w:tcBorders>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0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Costs and expenses:</w:t>
            </w:r>
          </w:p>
        </w:tc>
        <w:tc>
          <w:tcPr>
            <w:tcW w:w="47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2680" w:type="dxa"/>
            <w:vAlign w:val="bottom"/>
            <w:gridSpan w:val="5"/>
          </w:tcPr>
          <w:p>
            <w:pPr>
              <w:jc w:val="right"/>
              <w:ind w:right="240"/>
              <w:spacing w:after="0"/>
              <w:rPr>
                <w:sz w:val="20"/>
                <w:szCs w:val="20"/>
                <w:color w:val="auto"/>
              </w:rPr>
            </w:pPr>
            <w:r>
              <w:rPr>
                <w:rFonts w:ascii="Arial" w:cs="Arial" w:eastAsia="Arial" w:hAnsi="Arial"/>
                <w:sz w:val="18"/>
                <w:szCs w:val="18"/>
                <w:color w:val="auto"/>
              </w:rPr>
              <w:t>63.9%</w:t>
            </w:r>
          </w:p>
        </w:tc>
        <w:tc>
          <w:tcPr>
            <w:tcW w:w="1580" w:type="dxa"/>
            <w:vAlign w:val="bottom"/>
            <w:gridSpan w:val="5"/>
          </w:tcPr>
          <w:p>
            <w:pPr>
              <w:jc w:val="right"/>
              <w:ind w:right="420"/>
              <w:spacing w:after="0"/>
              <w:rPr>
                <w:sz w:val="20"/>
                <w:szCs w:val="20"/>
                <w:color w:val="auto"/>
              </w:rPr>
            </w:pPr>
            <w:r>
              <w:rPr>
                <w:rFonts w:ascii="Arial" w:cs="Arial" w:eastAsia="Arial" w:hAnsi="Arial"/>
                <w:sz w:val="18"/>
                <w:szCs w:val="18"/>
                <w:color w:val="auto"/>
              </w:rPr>
              <w:t>64.3%</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158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26.8%</w:t>
            </w: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6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3.6%</w:t>
            </w:r>
          </w:p>
        </w:tc>
        <w:tc>
          <w:tcPr>
            <w:tcW w:w="15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color w:val="auto"/>
              </w:rPr>
              <w:t>4.3%</w:t>
            </w:r>
          </w:p>
        </w:tc>
        <w:tc>
          <w:tcPr>
            <w:tcW w:w="10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Income from operations (excluding restructuring and other items)</w:t>
            </w:r>
          </w:p>
        </w:tc>
        <w:tc>
          <w:tcPr>
            <w:tcW w:w="2680" w:type="dxa"/>
            <w:vAlign w:val="bottom"/>
            <w:gridSpan w:val="5"/>
          </w:tcPr>
          <w:p>
            <w:pPr>
              <w:jc w:val="right"/>
              <w:ind w:right="240"/>
              <w:spacing w:after="0"/>
              <w:rPr>
                <w:sz w:val="20"/>
                <w:szCs w:val="20"/>
                <w:color w:val="auto"/>
              </w:rPr>
            </w:pPr>
            <w:r>
              <w:rPr>
                <w:rFonts w:ascii="Arial" w:cs="Arial" w:eastAsia="Arial" w:hAnsi="Arial"/>
                <w:sz w:val="18"/>
                <w:szCs w:val="18"/>
                <w:color w:val="auto"/>
              </w:rPr>
              <w:t>8.7%</w:t>
            </w:r>
          </w:p>
        </w:tc>
        <w:tc>
          <w:tcPr>
            <w:tcW w:w="1580" w:type="dxa"/>
            <w:vAlign w:val="bottom"/>
            <w:gridSpan w:val="5"/>
          </w:tcPr>
          <w:p>
            <w:pPr>
              <w:jc w:val="right"/>
              <w:ind w:right="420"/>
              <w:spacing w:after="0"/>
              <w:rPr>
                <w:sz w:val="20"/>
                <w:szCs w:val="20"/>
                <w:color w:val="auto"/>
              </w:rPr>
            </w:pPr>
            <w:r>
              <w:rPr>
                <w:rFonts w:ascii="Arial" w:cs="Arial" w:eastAsia="Arial" w:hAnsi="Arial"/>
                <w:sz w:val="18"/>
                <w:szCs w:val="18"/>
                <w:color w:val="auto"/>
              </w:rPr>
              <w:t>4.6%</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Restructuring and other items</w:t>
            </w:r>
          </w:p>
        </w:tc>
        <w:tc>
          <w:tcPr>
            <w:tcW w:w="268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580" w:type="dxa"/>
            <w:vAlign w:val="bottom"/>
            <w:tcBorders>
              <w:bottom w:val="single" w:sz="8" w:color="auto"/>
            </w:tcBorders>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 (including restructuring and other items )</w:t>
            </w:r>
          </w:p>
        </w:tc>
        <w:tc>
          <w:tcPr>
            <w:tcW w:w="268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1580" w:type="dxa"/>
            <w:vAlign w:val="bottom"/>
            <w:tcBorders>
              <w:bottom w:val="single" w:sz="8" w:color="auto"/>
            </w:tcBorders>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4.6%</w:t>
            </w:r>
          </w:p>
        </w:tc>
        <w:tc>
          <w:tcPr>
            <w:tcW w:w="100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 for the period increased by $64.5 million, or 25.5%, from $252.3 million for the three months ended March 31, 2012 to $316.8 million for the three months ended March 31, 2013. Net revenue derived from the acquisitions of Cross Country Healthcare Inc. amounted to $6.7 million for the three months ended March 31, 2013. For the three months ended March 31, 2013 we derived approximately 42.8%, 46.1% and 11.1% of our net revenue in the United States, Europe and Rest of World,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spacing w:after="0" w:line="276" w:lineRule="auto"/>
        <w:rPr>
          <w:sz w:val="20"/>
          <w:szCs w:val="20"/>
          <w:color w:val="auto"/>
        </w:rPr>
      </w:pPr>
      <w:r>
        <w:rPr>
          <w:rFonts w:ascii="Arial" w:cs="Arial" w:eastAsia="Arial" w:hAnsi="Arial"/>
          <w:sz w:val="17"/>
          <w:szCs w:val="17"/>
          <w:color w:val="auto"/>
        </w:rPr>
        <w:t>Net revenue in Ireland increased from $29.0 million for the three months ended March 31, 2012 to $61.0 million for the three months ended March 31, 2013. Net revenue in Ireland is principally a function of the Company’s global transfer pricing model. Significant investment in personnel and related infrastructure in the prior period, to support new strategic partnerships and the expansion into new territories, resulted in an increased proportion of the Company’s net revenue being used to support other Group entities and a corresponding reduction in net revenue in Ireland. Increased revenue flows in the current period, driven by this upfront investment, has led to an increase in net revenue in Ireland in the current period.</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Direct costs for the period increased by $40.1 million, or 24.7%, from $162.3 million for the three months ended March 31, 2012 to $202.4 million for the three months ended March 31, 2013. Direct costs consist primarily of compensation, associated fringe benefits and share based compensation expense for project-related employees and other direct project driven costs. The increase in direct costs during the period arose from an increase in personnel related expenditure of $37.5 million and an increase in other direct project related costs of $2.6 million. As a percentage of net revenue, direct costs have decreased from 64.3% for the three months ended March 31, 2012 to 63.9% for the three months ended March 31, 2013.</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for the period increased by $8.1 million, or 11.9%, from $67.5 million for the three months ended March 31, 2012 to $75.6 million for the three months ended March 31, 2013.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expenses for the period arose primarily from an increase in personnel related expenditure of $6.6 million, an increase in facilities and related costs expenditure of $0.9 million and an increase in selling, general and administrative expenses of $0.6 million. As a percentage of net revenue, selling, general and administrative expenses, decreased from 26.8% for the three months ended March 31, 2012 to 23.8% for the three months ended March 31, 2013.</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Depreciation expense for the period increased by $0.9 million, or 10.2%, from $8.8 million for the three months ended March 31, 2012 to $9.7 million for the three months ended March 31, 2013 and principally arises from an investment in facilities, information systems and equipment to support the Company’s growth. As a percentage of net revenue, depreciation expense decreased from 3.5% of net revenues for the three months ended March 31, 2012 to 3.1% for the three months ended March 31, 2013. Amortization expense for the period decreased by $0.2 million, or 10.0%, from $2.0 million for the three months ended March 31, 2012 to $1.8 million for the three months ended March 31, 2013. Amortization expense represents the amortization of intangible assets acquired on business combinations. The increase in the amortization expense in the current period is primarily a result of intangible assets acquired from the acquisitions of BeijingWits Medical and PriceSpective during the year ended December 31, 2012 and the acquisition of the clinical trial services division of Cross Country Healthcare Inc. during the three months ended March 31, 2013. As a percentage of net revenue, amortization expense decreased from 0.8% of net revenues for the three months ended March 31, 2012 to 0.6% of net revenues for the three months ended March 31, 2013.</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Restructuring charges of $4.4 million were recognized during three months ended March 31, 2013 under a restructuring plan adopted following a review by the Company of its operations. Under this restructuring plan the Company announced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The restructuring charge recognized included $0.5 million in respect of lease termination costs associated with the Omaha facility and $3.9 million in respect of resource rationalizations. (s</w:t>
      </w:r>
      <w:r>
        <w:rPr>
          <w:rFonts w:ascii="Arial" w:cs="Arial" w:eastAsia="Arial" w:hAnsi="Arial"/>
          <w:sz w:val="18"/>
          <w:szCs w:val="18"/>
          <w:i w:val="1"/>
          <w:iCs w:val="1"/>
          <w:color w:val="auto"/>
        </w:rPr>
        <w:t>ee</w:t>
      </w:r>
      <w:r>
        <w:rPr>
          <w:rFonts w:ascii="Arial" w:cs="Arial" w:eastAsia="Arial" w:hAnsi="Arial"/>
          <w:sz w:val="18"/>
          <w:szCs w:val="18"/>
          <w:color w:val="auto"/>
        </w:rPr>
        <w:t xml:space="preserve"> </w:t>
      </w:r>
      <w:r>
        <w:rPr>
          <w:rFonts w:ascii="Arial" w:cs="Arial" w:eastAsia="Arial" w:hAnsi="Arial"/>
          <w:sz w:val="18"/>
          <w:szCs w:val="18"/>
          <w:i w:val="1"/>
          <w:iCs w:val="1"/>
          <w:color w:val="auto"/>
        </w:rPr>
        <w:t>note 4 Restructuring and other items for further information).</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income from operations for the three months increased by $11.3 million, or 96.0%, from $11.7 million for the three months ended March 31, 2012 to $23.0 million for the three months ended March 31, 2013 ($27.4 million, or 133.6% excluding restructuring charges). As a percentage of net revenue, income from operations increased from 4.6% of net revenues for the three months ended March 31, 2012 to 7.3% of net revenues for the three months ended March 31, 2013 (8.7% excluding restructuring charges).</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from operations in Ireland increased from a loss of $6.3 million for the three months ended March 31, 2012, to a profit of $12.0 million ($12.3 million excluding restructuring charges) for the three months ended March 31, 2013. Income/ (losses) from operations in Ireland are impacted by the Group’s global transfer pricing model. A significant upfront investment in personnel and related infrastructure in the prior period led to a greater proportion of the Group’s revenue being used to support other Group entities and a corresponding increase in losses from operations in Ireland. Increased revenue flows in the current period, arising from this upfront investment in personnel and related infrastructure, has resulted in profits from operations in the current quarter.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Interest expense for the period was 0.4 million for the three months ended March 31, 2012 and the three months ended March 31, 2013. Interest expense for the three months ended March 31, 2013 includes $0.1 million in respect of non-cash finance charges relating to acquisition contingent consideration. Interest income for the three months ended March 31, 2013 decreased from $0.4 million for the three months ended March 31, 2012 to $0.2 million for the three months ended March 31, 2013.</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Provision for income taxes for the period increased from $2.7 million for the three months ended March 31, 2012 to $3.8 million ($5.0 million excluding the impact of restructuring charges) for the three months ended March 31, 2013. The Company’s effective tax rate for the three months ended March 31, 2013 was 16.5% (18.4% excluding the impact of restructuring charges) compared with 23.3% for the three months ended March 31, 2012. The Company’s effective tax rate is principally a function of the distribution of pre-tax profits amongst the territories in which it operates.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cash and short term investment balances at March 31, 2013 amounted to $200.5 million compared with cash and short term investment balances of $190.2 million at December 31, 2012. The Company’s cash and short term investment balances at March 31, 2013 comprised cash and cash equivalents $137.4 million, restricted cash $3.75 million and short-term investments $59.4 million. During the three months ended March 31, 2013 the Company completed the acquisition of the clinical trial services division of Cross Country Healthcare Inc. At March 31, 2013 the Company held $3.75 million in restricted cash in relation to additional amounts potentially payable for the acquisition. The Company’s cash and short-term investment balances at December 31, 2012 comprised cash and cash equivalents $114.0 million and short-term investments $76.2 million.</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20, 2011 the Company entered into a three year committed multi currency revolving credit facility for $150.0 million with Citibank, JP Morgan, Ulster Bank, Deutsche Bank and Barclays Bank. Each bank subject to the agreement has committed $30 million to the facility, with equal terms and conditions in place with all institutions. The facility bears interest at LIBOR plus a margin and includes certain composite guarantees, indemnities and pledges in favor of the banks. Amounts available to the Group under the facility amounted to $150.0 million at March 31, 2013 compared with $150.0 million at December 31, 2012.</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cash provided by operating activities was $69.4 million for the three months ended March 31, 2013 compared with cash provided by operating activities of $60.6 million for the three months ended March 31, 2012. The most significant influence on our operating cash flow is revenue outstanding, which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March 31, 2013 was 33 days compared to 40 days at December 31, 2012. The number of days revenue outstanding at March 31, 2012 was 37 days compared to 47 days at December 31, 2011.</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Net cash used in investing activities was $47.2 million for the three months ended March 31, 2013 compared to net cash used in investing activities of $73.9 million for the three months ended March 31, 2012. Net cash used in the three months ended March 31, 2013 arose principally from cash paid for acquisitions, capital expenditures and the purchase of short-term investments.</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During the three months ended March 31, 2013 the Company completed the acquisition of the clinical trial services division of Cross Country Healthcare Inc. for an initial cash consideration of $51.9 million, with $1.0 million in cash received on acquisition. Additional amounts payable at March 31, 2013 in relation to acquisitions include $48.85 million payable contingent upon the results of acquired businesses; including Cross Country Healthcare Inc. ($3.75 million), PriceSpective ($10.0 million); BeijingWits Medical ($7.0 million); Firecrest ($25.1 million) and Oxford Outcomes ($3.0 million). </w:t>
      </w:r>
      <w:r>
        <w:rPr>
          <w:rFonts w:ascii="Arial" w:cs="Arial" w:eastAsia="Arial" w:hAnsi="Arial"/>
          <w:sz w:val="16"/>
          <w:szCs w:val="16"/>
          <w:i w:val="1"/>
          <w:iCs w:val="1"/>
          <w:color w:val="auto"/>
        </w:rPr>
        <w:t>(See note 3</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Combinations for further information relating to acquisitions and amounts payable contingent upon the future results of acquired businesses).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expenditure for the three months ended March 31, 2013 amounted to $9.4 million and comprised mainly of expenditure on global infrastructure and information technology systems to support the Company’s growth. During the three months ended March 31, 2013 the Company received a net $16.8 million from the sale of short-term investments.</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provided by financing activities during the three months ended March 31, 2013 amounted to $5.0 million compared with net cash provided by financing activities of $19.8 million for the three months ended March 31, 2012. Net cash provided by financing activities during the three months ended March 31, 2013 arose primarily from the $4.9 million received from the exercise of stock options. Net cash provided by financing activities during the three months ended March 31, 2012 arose primarily from the drawdown of $20.0 million in bank credit lines and loan facilities and $0.8 million received from the exercise of stock options. This was offset by payments amounting to $1.4 million to repurchase shares under the Company’s share repurchase plans.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cash flows, cash and cash equivalents increased by $23.3 million for the three months ended March 31, 2013 compared to an increase of $9.6 million for the three months ended March 31,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620" w:type="dxa"/>
            <w:vAlign w:val="bottom"/>
            <w:gridSpan w:val="2"/>
          </w:tcPr>
          <w:p>
            <w:pPr>
              <w:ind w:left="3820"/>
              <w:spacing w:after="0"/>
              <w:rPr>
                <w:sz w:val="20"/>
                <w:szCs w:val="20"/>
                <w:color w:val="auto"/>
              </w:rPr>
            </w:pPr>
            <w:r>
              <w:rPr>
                <w:rFonts w:ascii="Arial" w:cs="Arial" w:eastAsia="Arial" w:hAnsi="Arial"/>
                <w:sz w:val="18"/>
                <w:szCs w:val="18"/>
                <w:b w:val="1"/>
                <w:bCs w:val="1"/>
                <w:color w:val="auto"/>
              </w:rPr>
              <w:t>ICON plc</w:t>
            </w:r>
          </w:p>
        </w:tc>
      </w:tr>
      <w:tr>
        <w:trPr>
          <w:trHeight w:val="871"/>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/s/ Brendan Brennan</w:t>
            </w:r>
          </w:p>
        </w:tc>
      </w:tr>
      <w:tr>
        <w:trPr>
          <w:trHeight w:val="202"/>
        </w:trPr>
        <w:tc>
          <w:tcPr>
            <w:tcW w:w="20" w:type="dxa"/>
            <w:vAlign w:val="bottom"/>
          </w:tcPr>
          <w:p>
            <w:pPr>
              <w:spacing w:after="0"/>
              <w:rPr>
                <w:sz w:val="17"/>
                <w:szCs w:val="17"/>
                <w:color w:val="auto"/>
              </w:rPr>
            </w:pPr>
          </w:p>
        </w:tc>
        <w:tc>
          <w:tcPr>
            <w:tcW w:w="3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Date: May 2, 2013</w:t>
            </w:r>
          </w:p>
        </w:tc>
        <w:tc>
          <w:tcPr>
            <w:tcW w:w="3820" w:type="dxa"/>
            <w:vAlign w:val="bottom"/>
          </w:tcPr>
          <w:p>
            <w:pPr>
              <w:spacing w:after="0"/>
              <w:rPr>
                <w:sz w:val="17"/>
                <w:szCs w:val="17"/>
                <w:color w:val="auto"/>
              </w:rPr>
            </w:pPr>
          </w:p>
        </w:tc>
        <w:tc>
          <w:tcPr>
            <w:tcW w:w="3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620" w:type="dxa"/>
            <w:vAlign w:val="bottom"/>
            <w:gridSpan w:val="2"/>
          </w:tcPr>
          <w:p>
            <w:pPr>
              <w:ind w:left="38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2019-12-06T20:12:33Z</dcterms:created>
  <dcterms:modified xsi:type="dcterms:W3CDTF">2019-12-06T20:12:33Z</dcterms:modified>
</cp:coreProperties>
</file>