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16"/>
          <w:szCs w:val="16"/>
          <w:b w:val="1"/>
          <w:bCs w:val="1"/>
          <w:color w:val="auto"/>
        </w:rPr>
        <w:t>FORM 6-K</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8"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Washington, D.C. 20549</w:t>
      </w:r>
    </w:p>
    <w:p>
      <w:pPr>
        <w:spacing w:after="0" w:line="22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Report of Foreign Private Issuer</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For</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the month ended October, 2020</w:t>
      </w:r>
    </w:p>
    <w:p>
      <w:pPr>
        <w:spacing w:after="0" w:line="22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(Registrant's name)</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333-08704</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Brendan Brennan, CFO</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Brendan.Brennan@iconplc.com</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+353-1-291-2000</w:t>
      </w:r>
    </w:p>
    <w:p>
      <w:pPr>
        <w:spacing w:after="0" w:line="5" w:lineRule="exact"/>
        <w:rPr>
          <w:sz w:val="24"/>
          <w:szCs w:val="24"/>
          <w:color w:val="auto"/>
        </w:rPr>
      </w:pPr>
    </w:p>
    <w:p>
      <w:pPr>
        <w:jc w:val="center"/>
        <w:ind w:right="-859"/>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53"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32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53"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2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53"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22"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27"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40" w:top="999" w:right="11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Rider A</w:t>
      </w:r>
    </w:p>
    <w:p>
      <w:pPr>
        <w:spacing w:after="0" w:line="187" w:lineRule="exact"/>
        <w:rPr>
          <w:sz w:val="20"/>
          <w:szCs w:val="20"/>
          <w:color w:val="auto"/>
        </w:rPr>
      </w:pPr>
    </w:p>
    <w:p>
      <w:pPr>
        <w:jc w:val="both"/>
        <w:ind w:firstLine="200"/>
        <w:spacing w:after="0" w:line="251" w:lineRule="auto"/>
        <w:rPr>
          <w:sz w:val="20"/>
          <w:szCs w:val="20"/>
          <w:color w:val="auto"/>
        </w:rPr>
      </w:pPr>
      <w:r>
        <w:rPr>
          <w:rFonts w:ascii="Arial" w:cs="Arial" w:eastAsia="Arial" w:hAnsi="Arial"/>
          <w:sz w:val="16"/>
          <w:szCs w:val="16"/>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6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29"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2020 we had approximately 15,250 employees, in 94 locations in 40 countries. During the nine months ended September 30, 2020, we derived approximately 34.4%, 55.8% and 9.8% of our revenue in the United States, Europe and Rest of World respectively.</w:t>
      </w:r>
    </w:p>
    <w:p>
      <w:pPr>
        <w:spacing w:after="0" w:line="229" w:lineRule="exact"/>
        <w:rPr>
          <w:sz w:val="20"/>
          <w:szCs w:val="20"/>
          <w:color w:val="auto"/>
        </w:rPr>
      </w:pPr>
    </w:p>
    <w:p>
      <w:pPr>
        <w:jc w:val="both"/>
        <w:ind w:firstLine="193"/>
        <w:spacing w:after="0" w:line="253"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+353-1-291-2000.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Oncology site network - Oncacare Limited</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24, 2020 a subsidiary of the Company, ICON Clinical Research Limited, entered into an agreement to jointly establish a new company, Oncacare Limited ("Oncacare"), with a third party. Oncacare will operate a specialized oncology site network in the US and EMEA regions. The new site network will focus on implementing a range of commercial models with specialist oncology healthcare providers in the US and EMEA, to accelerate the recruitment and retention of patients into oncology trials. The oncology site network will operate as a joint venture between the Company and a third party company which has extensive experience in developing and running a site network.</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has invested $4.9 million to obtain a 49% interest in the voting share capital of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investments in the Condensed Consolidated Statement of Operations. See additional details in </w:t>
      </w:r>
      <w:r>
        <w:rPr>
          <w:rFonts w:ascii="Arial" w:cs="Arial" w:eastAsia="Arial" w:hAnsi="Arial"/>
          <w:sz w:val="16"/>
          <w:szCs w:val="16"/>
          <w:i w:val="1"/>
          <w:iCs w:val="1"/>
          <w:color w:val="auto"/>
        </w:rPr>
        <w:t>note 2 - Significant accounting policies.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third party has the right to sell the 51% majority voting share capital exclusively to the Company in an eighteen month period, commencing January 1, 2023 and ICON also has the right to acquire the 51% majority voting share capital from August 1, 2025.</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of MeDiNova NCI</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March 9, 2020 ICON exercised its option to call the outstanding shares in the noncontrolling interest to take 100% ownership of MeDiNova. Effective from this date, the noncontrolling interest was derecognized and a liability was recognized, representing the assessment of the redemption value of the noncontrolling interest. This liability was settled on July 17, 2020 for $43.9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w:t>
      </w:r>
    </w:p>
    <w:p>
      <w:pPr>
        <w:spacing w:after="0" w:line="264" w:lineRule="exact"/>
        <w:rPr>
          <w:sz w:val="20"/>
          <w:szCs w:val="20"/>
          <w:color w:val="auto"/>
        </w:rPr>
      </w:pPr>
    </w:p>
    <w:p>
      <w:pPr>
        <w:jc w:val="both"/>
        <w:ind w:firstLine="300"/>
        <w:spacing w:after="0" w:line="250"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 The total consideration for the acquisition of MedPass is $47.6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i w:val="1"/>
          <w:iCs w:val="1"/>
          <w:color w:val="auto"/>
        </w:rPr>
        <w:t>Share repurchase program</w:t>
      </w:r>
    </w:p>
    <w:p>
      <w:pPr>
        <w:spacing w:after="0" w:line="264" w:lineRule="exact"/>
        <w:rPr>
          <w:sz w:val="20"/>
          <w:szCs w:val="20"/>
          <w:color w:val="auto"/>
        </w:rPr>
      </w:pPr>
    </w:p>
    <w:p>
      <w:pPr>
        <w:jc w:val="both"/>
        <w:ind w:firstLine="184"/>
        <w:spacing w:after="0" w:line="251"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 During the nine months ended September 30, 2020, 1,235,218 ordinary shares were redeemed by the Company under this buyback program for a total consideration of $175.0 million.</w:t>
      </w:r>
    </w:p>
    <w:p>
      <w:pPr>
        <w:spacing w:after="0" w:line="229" w:lineRule="exact"/>
        <w:rPr>
          <w:sz w:val="20"/>
          <w:szCs w:val="20"/>
          <w:color w:val="auto"/>
        </w:rPr>
      </w:pPr>
    </w:p>
    <w:p>
      <w:pPr>
        <w:jc w:val="both"/>
        <w:ind w:right="20" w:firstLine="196"/>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Assessment of COVID-19 impact on the business</w:t>
      </w:r>
    </w:p>
    <w:p>
      <w:pPr>
        <w:spacing w:after="0" w:line="264" w:lineRule="exact"/>
        <w:rPr>
          <w:sz w:val="20"/>
          <w:szCs w:val="20"/>
          <w:color w:val="auto"/>
        </w:rPr>
      </w:pPr>
    </w:p>
    <w:p>
      <w:pPr>
        <w:jc w:val="both"/>
        <w:ind w:firstLine="232"/>
        <w:spacing w:after="0" w:line="251" w:lineRule="auto"/>
        <w:rPr>
          <w:sz w:val="20"/>
          <w:szCs w:val="20"/>
          <w:color w:val="auto"/>
        </w:rPr>
      </w:pPr>
      <w:r>
        <w:rPr>
          <w:rFonts w:ascii="Arial" w:cs="Arial" w:eastAsia="Arial" w:hAnsi="Arial"/>
          <w:sz w:val="16"/>
          <w:szCs w:val="16"/>
          <w:color w:val="auto"/>
        </w:rPr>
        <w:t>In the period since year-end, as a result of the global spread of COVID-19, the Company has experienced a negative impact on its operations. At this point in time, there continues to be significant uncertainty relating to the long-term effect of COVID-19 on our business. We have experienced restrictions on our ability to ensure laboratory samples are collected and analyzed on time, our ability to monitor our clinical trials, the ability of patients or other service providers to travel, and our ability to travel, as a result of the outbreak.</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However, ICON has mobilized its vaccine resources to address the COVID-19 global threat, including its ability to conduct home-based trials to minimize infection. In addition, the Company is currently providing clinical monitoring and safety oversight on more than 100 COVID-19 trials for both the private and government sectors.</w:t>
      </w:r>
    </w:p>
    <w:p>
      <w:pPr>
        <w:spacing w:after="0" w:line="21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Revenue for the three months ended September 30, 2020 decreased by $8.7 million, or 1.2%, to $701.7 million, compared to $710.4 million for the three months ended September 30, 2019. Revenue decreased by 1.9% in constant currency and decreased by 3.5% in constant dollar organic terms. The decrease in revenues in the three months ended September 30, 2020 is due to the impact the COVID-19 global pandemic has had on operations including; our ability to ensure laboratory samples are collected and analyzed on time, our ability to perform on-site monitoring of clinical trials, the ability of patients or other service providers to travel, and our ability to travel. Certain cost saving measures were introduced in response to COVID-19 including salary reductions. The primary cost saving measure was the application of temporary salary reductions scaled based on seniority of employees.</w:t>
      </w:r>
    </w:p>
    <w:p>
      <w:pPr>
        <w:spacing w:after="0" w:line="238" w:lineRule="exact"/>
        <w:rPr>
          <w:sz w:val="20"/>
          <w:szCs w:val="20"/>
          <w:color w:val="auto"/>
        </w:rPr>
      </w:pPr>
    </w:p>
    <w:p>
      <w:pPr>
        <w:jc w:val="both"/>
        <w:ind w:right="20" w:firstLine="232"/>
        <w:spacing w:after="0" w:line="260" w:lineRule="auto"/>
        <w:rPr>
          <w:sz w:val="20"/>
          <w:szCs w:val="20"/>
          <w:color w:val="auto"/>
        </w:rPr>
      </w:pPr>
      <w:r>
        <w:rPr>
          <w:rFonts w:ascii="Arial" w:cs="Arial" w:eastAsia="Arial" w:hAnsi="Arial"/>
          <w:sz w:val="16"/>
          <w:szCs w:val="16"/>
          <w:color w:val="auto"/>
        </w:rPr>
        <w:t>In light of on-going developments relating to the COVID-19 global pandemic, the Company is supplementing the risk factors previously disclosed in its Form 20-F filed on February 27, 2020 to include the following risk factors.</w:t>
      </w:r>
    </w:p>
    <w:p>
      <w:pPr>
        <w:spacing w:after="0" w:line="222" w:lineRule="exact"/>
        <w:rPr>
          <w:sz w:val="20"/>
          <w:szCs w:val="20"/>
          <w:color w:val="auto"/>
        </w:rPr>
      </w:pPr>
    </w:p>
    <w:p>
      <w:pPr>
        <w:jc w:val="both"/>
        <w:ind w:firstLine="199"/>
        <w:spacing w:after="0" w:line="251" w:lineRule="auto"/>
        <w:rPr>
          <w:sz w:val="20"/>
          <w:szCs w:val="20"/>
          <w:color w:val="auto"/>
        </w:rPr>
      </w:pPr>
      <w:r>
        <w:rPr>
          <w:rFonts w:ascii="Arial" w:cs="Arial" w:eastAsia="Arial" w:hAnsi="Arial"/>
          <w:sz w:val="16"/>
          <w:szCs w:val="16"/>
          <w:color w:val="auto"/>
        </w:rPr>
        <w:t>COVID-19 has, and may continue to, adversely affect our business performance. The Company has experienced a negative impact on our operations as a result of the global spread of COVID-19, including restrictions on our ability to ensure laboratory samples are collected and analyzed on time, our ability to monitor our clinical trials, the ability of patients or other service providers to travel, and our ability to travel. We have also experienced costs associated with impact prevention.</w:t>
      </w:r>
    </w:p>
    <w:p>
      <w:pPr>
        <w:spacing w:after="0" w:line="229" w:lineRule="exact"/>
        <w:rPr>
          <w:sz w:val="20"/>
          <w:szCs w:val="20"/>
          <w:color w:val="auto"/>
        </w:rPr>
      </w:pPr>
    </w:p>
    <w:p>
      <w:pPr>
        <w:jc w:val="both"/>
        <w:ind w:firstLine="186"/>
        <w:spacing w:after="0" w:line="250" w:lineRule="auto"/>
        <w:rPr>
          <w:sz w:val="20"/>
          <w:szCs w:val="20"/>
          <w:color w:val="auto"/>
        </w:rPr>
      </w:pPr>
      <w:r>
        <w:rPr>
          <w:rFonts w:ascii="Arial" w:cs="Arial" w:eastAsia="Arial" w:hAnsi="Arial"/>
          <w:sz w:val="16"/>
          <w:szCs w:val="16"/>
          <w:color w:val="auto"/>
        </w:rPr>
        <w:t>The COVID-19 outbreak continues to evolve. While our site network and office facilities have begun to re-open on a phased basis, the extent to which the outbreak may continue to impact our business will depend on future developments, which are highly uncertain and cannot be predicted with confidence, such as the ultimate geographic spread of COVID-19, additional phases of the outbreak, travel restrictions and actions to contain the outbreak or treat its impact, such as social distancing and quarantines or lock-downs, business closures or business disruptions and the effectiveness of actions taken throughout the world to contain and treat the disease.</w:t>
      </w:r>
    </w:p>
    <w:p>
      <w:pPr>
        <w:spacing w:after="0" w:line="230" w:lineRule="exact"/>
        <w:rPr>
          <w:sz w:val="20"/>
          <w:szCs w:val="20"/>
          <w:color w:val="auto"/>
        </w:rPr>
      </w:pPr>
    </w:p>
    <w:p>
      <w:pPr>
        <w:jc w:val="both"/>
        <w:ind w:firstLine="188"/>
        <w:spacing w:after="0" w:line="251" w:lineRule="auto"/>
        <w:rPr>
          <w:sz w:val="20"/>
          <w:szCs w:val="20"/>
          <w:color w:val="auto"/>
        </w:rPr>
      </w:pPr>
      <w:r>
        <w:rPr>
          <w:rFonts w:ascii="Arial" w:cs="Arial" w:eastAsia="Arial" w:hAnsi="Arial"/>
          <w:sz w:val="16"/>
          <w:szCs w:val="16"/>
          <w:color w:val="auto"/>
        </w:rPr>
        <w:t>Our information systems and those of third parties which we utilize may face increased cybersecurity risks due to the COVID-19 pandemic, including from the significant number of employees that are working remotely or otherwise impacted by stay-at-home orders. Additional remote access points provide new potential vulnerabilities to cybercriminals. Employees of ICON and third parties may be more susceptible to social engineering efforts, and to phishing attempts which can disguise malware as a legitimate effort to circulate important information relating to COVID-19.</w:t>
      </w:r>
    </w:p>
    <w:p>
      <w:pPr>
        <w:spacing w:after="0" w:line="229" w:lineRule="exact"/>
        <w:rPr>
          <w:sz w:val="20"/>
          <w:szCs w:val="20"/>
          <w:color w:val="auto"/>
        </w:rPr>
      </w:pPr>
    </w:p>
    <w:p>
      <w:pPr>
        <w:jc w:val="both"/>
        <w:ind w:firstLine="242"/>
        <w:spacing w:after="0" w:line="260" w:lineRule="auto"/>
        <w:rPr>
          <w:sz w:val="20"/>
          <w:szCs w:val="20"/>
          <w:color w:val="auto"/>
        </w:rPr>
      </w:pPr>
      <w:r>
        <w:rPr>
          <w:rFonts w:ascii="Arial" w:cs="Arial" w:eastAsia="Arial" w:hAnsi="Arial"/>
          <w:sz w:val="16"/>
          <w:szCs w:val="16"/>
          <w:color w:val="auto"/>
        </w:rPr>
        <w:t>Please also refer to the complete Form 20-F filed on February 27, 2020 for additional risks and uncertainties facing the Company that may adversely affect our business.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Debt re-financing</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The Senior Notes will mature on December 15, 2020. This debt will be repaid and new Senior Notes will be drawn in December 2020, the terms of which were finalized in July 2020. In June 2020, the Company entered into an interest rate hedge in respect of the planned refinancing. The interest rate hedge was effective in accordance with Financial Accounting Standards Board (“FASB”)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interest rate hedge matured on July 9, 2020 when the interest rates on the issue of new Senior Notes were fixed.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standards</w:t>
      </w:r>
    </w:p>
    <w:p>
      <w:pPr>
        <w:spacing w:after="0" w:line="235" w:lineRule="exact"/>
        <w:rPr>
          <w:sz w:val="20"/>
          <w:szCs w:val="20"/>
          <w:color w:val="auto"/>
        </w:rPr>
      </w:pPr>
    </w:p>
    <w:p>
      <w:pPr>
        <w:jc w:val="both"/>
        <w:ind w:firstLine="270"/>
        <w:spacing w:after="0" w:line="236" w:lineRule="auto"/>
        <w:rPr>
          <w:sz w:val="20"/>
          <w:szCs w:val="20"/>
          <w:color w:val="auto"/>
        </w:rPr>
      </w:pPr>
      <w:r>
        <w:rPr>
          <w:rFonts w:ascii="Arial" w:cs="Arial" w:eastAsia="Arial" w:hAnsi="Arial"/>
          <w:sz w:val="16"/>
          <w:szCs w:val="16"/>
          <w:color w:val="auto"/>
        </w:rPr>
        <w:t>ASU 2020-04 '</w:t>
      </w:r>
      <w:r>
        <w:rPr>
          <w:rFonts w:ascii="Arial" w:cs="Arial" w:eastAsia="Arial" w:hAnsi="Arial"/>
          <w:sz w:val="16"/>
          <w:szCs w:val="16"/>
          <w:i w:val="1"/>
          <w:iCs w:val="1"/>
          <w:color w:val="auto"/>
        </w:rPr>
        <w:t>Reference Rate Reform (Topic 848) - Facilitation of the Effects of Reference Rate Reform on Financial Reporting'</w:t>
      </w:r>
      <w:r>
        <w:rPr>
          <w:rFonts w:ascii="Arial" w:cs="Arial" w:eastAsia="Arial" w:hAnsi="Arial"/>
          <w:sz w:val="16"/>
          <w:szCs w:val="16"/>
          <w:color w:val="auto"/>
        </w:rPr>
        <w:t xml:space="preserve"> provides optional expedients and exceptions for applying Generally Accepted Accounting Principles ("GAAP") to contracts, hedging relationships, and other transactions affected by the reference rate reform. The amendments apply only to contracts and transactions that reference LIBOR or another reference rate expected to be discontinued as part of the reform. This ASU was issued on March 12, 2020 and applies only to contracts or transactions entered into or evaluated before December 31, 2022. This ASU was effective upon issuance and may be adopted on any date on or after March 12, 2020. The impact of adopting ASU 2020-04 is not expected to be material to the Group.</w:t>
      </w:r>
    </w:p>
    <w:p>
      <w:pPr>
        <w:spacing w:after="0" w:line="2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(ASC 326) was effective, and adopted by the group, from January 1, 2020. ASC 326 introduces an expected loss methodology that is referred to as the current expected credit loss (CECL) methodology. The new standard requires loss provisions to reflect an entity’s current estimate of all expected credit losses. The assessment must include consideration of both past events and current conditions. The methodology requires the use of forecast information to provide more timely and accurate credit loss estimates. The measurement of expected credit losses under the CECL methodology is applicable to financial assets measured at amortized cost, including loan receivables and held-to-maturity debt securities. It also applies to off-balance sheet credit exposures not accounted as insurance (loan commitments, standby letters of credit, financial guarantees, and other similar instruments) and net investments in leases recognized by a lessor in accordance with ASC 842 on leases. The Group adopted ASC 326 using the modified retrospective method. Under this transition method, the new standard is applied from January 1, 2020 without restatement of comparative period amounts. There was no impact of adopting ASC 326 on retained earnings at January 1, 2020.</w:t>
      </w:r>
    </w:p>
    <w:p>
      <w:pPr>
        <w:spacing w:after="0" w:line="21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6"/>
          <w:szCs w:val="16"/>
          <w:color w:val="auto"/>
        </w:rPr>
        <w:t xml:space="preserve">ICON adopted ASU No. 2018-15 </w:t>
      </w:r>
      <w:r>
        <w:rPr>
          <w:rFonts w:ascii="Arial" w:cs="Arial" w:eastAsia="Arial" w:hAnsi="Arial"/>
          <w:sz w:val="16"/>
          <w:szCs w:val="16"/>
          <w:i w:val="1"/>
          <w:iCs w:val="1"/>
          <w:color w:val="auto"/>
        </w:rPr>
        <w:t>'Intangibles – Goodwill and Other – Internal-Use Software (Subtopic 350-40)</w:t>
      </w:r>
      <w:r>
        <w:rPr>
          <w:rFonts w:ascii="Arial" w:cs="Arial" w:eastAsia="Arial" w:hAnsi="Arial"/>
          <w:sz w:val="16"/>
          <w:szCs w:val="16"/>
          <w:color w:val="auto"/>
        </w:rPr>
        <w:t>' (ASU 2018-15) effective from January 1, 2020. ASU 2018-15 provides guidance on when to capitalize implementation costs incurred in hosting arrangements which are accounted for as service contracts. The adoption of ASU 2018-15 did not have an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 w:name="page6"/>
    <w:bookmarkEnd w:id="5"/>
    <w:p>
      <w:pPr>
        <w:ind w:left="5400"/>
        <w:spacing w:after="0"/>
        <w:rPr>
          <w:sz w:val="20"/>
          <w:szCs w:val="20"/>
          <w:color w:val="auto"/>
        </w:rPr>
      </w:pPr>
      <w:r>
        <w:rPr>
          <w:rFonts w:ascii="Arial" w:cs="Arial" w:eastAsia="Arial" w:hAnsi="Arial"/>
          <w:sz w:val="16"/>
          <w:szCs w:val="16"/>
          <w:b w:val="1"/>
          <w:bCs w:val="1"/>
          <w:color w:val="auto"/>
        </w:rPr>
        <w:t>ICON plc</w:t>
      </w:r>
    </w:p>
    <w:p>
      <w:pPr>
        <w:spacing w:after="0" w:line="31"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SEPTEMBER 30, 2020 AND DECEMBER 31,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(Unaudited)</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(Audited)</w:t>
            </w:r>
          </w:p>
        </w:tc>
      </w:tr>
      <w:tr>
        <w:trPr>
          <w:trHeight w:val="198"/>
        </w:trPr>
        <w:tc>
          <w:tcPr>
            <w:tcW w:w="7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8"/>
        </w:trPr>
        <w:tc>
          <w:tcPr>
            <w:tcW w:w="7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2019</w:t>
            </w:r>
          </w:p>
        </w:tc>
      </w:tr>
      <w:tr>
        <w:trPr>
          <w:trHeight w:val="24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20" w:type="dxa"/>
            <w:vAlign w:val="bottom"/>
            <w:shd w:val="clear" w:color="auto" w:fill="CCEEFF"/>
          </w:tcPr>
          <w:p>
            <w:pPr>
              <w:spacing w:after="0"/>
              <w:rPr>
                <w:sz w:val="21"/>
                <w:szCs w:val="21"/>
                <w:color w:val="auto"/>
              </w:rPr>
            </w:pPr>
          </w:p>
        </w:tc>
        <w:tc>
          <w:tcPr>
            <w:tcW w:w="3100" w:type="dxa"/>
            <w:vAlign w:val="bottom"/>
            <w:gridSpan w:val="3"/>
            <w:shd w:val="clear" w:color="auto" w:fill="CCEEFF"/>
          </w:tcPr>
          <w:p>
            <w:pPr>
              <w:jc w:val="right"/>
              <w:ind w:right="1059"/>
              <w:spacing w:after="0"/>
              <w:rPr>
                <w:sz w:val="20"/>
                <w:szCs w:val="20"/>
                <w:color w:val="auto"/>
              </w:rPr>
            </w:pPr>
            <w:r>
              <w:rPr>
                <w:rFonts w:ascii="Arial" w:cs="Arial" w:eastAsia="Arial" w:hAnsi="Arial"/>
                <w:sz w:val="16"/>
                <w:szCs w:val="16"/>
                <w:color w:val="auto"/>
              </w:rPr>
              <w:t>(in thousands)</w:t>
            </w:r>
          </w:p>
        </w:tc>
      </w:tr>
      <w:tr>
        <w:trPr>
          <w:trHeight w:val="233"/>
        </w:trPr>
        <w:tc>
          <w:tcPr>
            <w:tcW w:w="71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707,995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520,309</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Available for sale investments</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1,729</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49,628</w:t>
            </w: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 of allowance for credit losses</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510,636</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527,708</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Unbilled revenue</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440,379</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422,769</w:t>
            </w: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32,583</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39,290</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Prepayments and other current assets</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42,950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41,517</w:t>
            </w:r>
          </w:p>
        </w:tc>
      </w:tr>
      <w:tr>
        <w:trPr>
          <w:trHeight w:val="260"/>
        </w:trPr>
        <w:tc>
          <w:tcPr>
            <w:tcW w:w="7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Income taxes receivable</w:t>
            </w:r>
          </w:p>
        </w:tc>
        <w:tc>
          <w:tcPr>
            <w:tcW w:w="10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34,784</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23,759</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1,771,056</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1,624,980</w:t>
            </w:r>
          </w:p>
        </w:tc>
      </w:tr>
      <w:tr>
        <w:trPr>
          <w:trHeight w:val="172"/>
        </w:trPr>
        <w:tc>
          <w:tcPr>
            <w:tcW w:w="7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33"/>
        </w:trPr>
        <w:tc>
          <w:tcPr>
            <w:tcW w:w="71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plant and equipment, net</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160,075</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165,087</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Goodwill</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914,413</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883,170</w:t>
            </w: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right-of-use assets</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85,653</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104,977</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Other non-current assets</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17,920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17,439</w:t>
            </w: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income taxes receivable</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14,825</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17,230</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Non-current deferred tax asset</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14,181</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16,682</w:t>
            </w: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Equity method investments</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4,817</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Investments in equity-long term</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12,990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10,053</w:t>
            </w:r>
          </w:p>
        </w:tc>
      </w:tr>
      <w:tr>
        <w:trPr>
          <w:trHeight w:val="260"/>
        </w:trPr>
        <w:tc>
          <w:tcPr>
            <w:tcW w:w="7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Intangible assets</w:t>
            </w:r>
          </w:p>
        </w:tc>
        <w:tc>
          <w:tcPr>
            <w:tcW w:w="10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69,368</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67,894</w:t>
            </w:r>
          </w:p>
        </w:tc>
      </w:tr>
      <w:tr>
        <w:trPr>
          <w:trHeight w:val="237"/>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3,065,298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2,907,512</w:t>
            </w: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3"/>
        </w:trPr>
        <w:tc>
          <w:tcPr>
            <w:tcW w:w="71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28,702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24,050</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Unearned revenue</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450,906</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366,988</w:t>
            </w: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402,018</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378,543</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Income taxes payable</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11,506</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12,031</w:t>
            </w:r>
          </w:p>
        </w:tc>
      </w:tr>
      <w:tr>
        <w:trPr>
          <w:trHeight w:val="260"/>
        </w:trPr>
        <w:tc>
          <w:tcPr>
            <w:tcW w:w="7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Current bank credit lines and loan facilities</w:t>
            </w:r>
          </w:p>
        </w:tc>
        <w:tc>
          <w:tcPr>
            <w:tcW w:w="10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349,923</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349,640</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1,243,055</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1,131,252</w:t>
            </w:r>
          </w:p>
        </w:tc>
      </w:tr>
      <w:tr>
        <w:trPr>
          <w:trHeight w:val="25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Non-current operating lease liabilities</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62,494</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76,593</w:t>
            </w: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other liabilities</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21,149</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17,512</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Non-current government grants</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812</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income taxes payable</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13,849</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14,301</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Non-current deferred tax liability</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12,823</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9,476</w:t>
            </w:r>
          </w:p>
        </w:tc>
      </w:tr>
      <w:tr>
        <w:trPr>
          <w:trHeight w:val="260"/>
        </w:trPr>
        <w:tc>
          <w:tcPr>
            <w:tcW w:w="7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Commitments and contingencies</w:t>
            </w:r>
          </w:p>
        </w:tc>
        <w:tc>
          <w:tcPr>
            <w:tcW w:w="10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71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 Liabilities</w:t>
            </w:r>
          </w:p>
        </w:tc>
        <w:tc>
          <w:tcPr>
            <w:tcW w:w="10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1,354,182</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1,249,947</w:t>
            </w:r>
          </w:p>
        </w:tc>
      </w:tr>
      <w:tr>
        <w:trPr>
          <w:trHeight w:val="203"/>
        </w:trPr>
        <w:tc>
          <w:tcPr>
            <w:tcW w:w="7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3"/>
        </w:trPr>
        <w:tc>
          <w:tcPr>
            <w:tcW w:w="712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6"/>
        </w:trPr>
        <w:tc>
          <w:tcPr>
            <w:tcW w:w="7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120" w:type="dxa"/>
            <w:vAlign w:val="bottom"/>
          </w:tcPr>
          <w:p>
            <w:pPr>
              <w:ind w:left="360"/>
              <w:spacing w:after="0"/>
              <w:rPr>
                <w:sz w:val="20"/>
                <w:szCs w:val="20"/>
                <w:color w:val="auto"/>
              </w:rPr>
            </w:pPr>
            <w:r>
              <w:rPr>
                <w:rFonts w:ascii="Arial" w:cs="Arial" w:eastAsia="Arial" w:hAnsi="Arial"/>
                <w:sz w:val="16"/>
                <w:szCs w:val="16"/>
                <w:color w:val="auto"/>
              </w:rPr>
              <w:t>52,775,243 shares issued and outstanding at September 30, 2020 and</w:t>
            </w: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6"/>
        </w:trPr>
        <w:tc>
          <w:tcPr>
            <w:tcW w:w="7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53,622,206 shares issued and outstanding at December 31, 2019</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4,579</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610,240</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577,961</w:t>
            </w:r>
          </w:p>
        </w:tc>
      </w:tr>
      <w:tr>
        <w:trPr>
          <w:trHeight w:val="253"/>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undenominated capital</w:t>
            </w:r>
          </w:p>
        </w:tc>
        <w:tc>
          <w:tcPr>
            <w:tcW w:w="10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1,134</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10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(66,498)</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(75,819)</w:t>
            </w:r>
          </w:p>
        </w:tc>
      </w:tr>
      <w:tr>
        <w:trPr>
          <w:trHeight w:val="260"/>
        </w:trPr>
        <w:tc>
          <w:tcPr>
            <w:tcW w:w="7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10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1,161,661</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1,110,226</w:t>
            </w:r>
          </w:p>
        </w:tc>
      </w:tr>
      <w:tr>
        <w:trPr>
          <w:trHeight w:val="233"/>
        </w:trPr>
        <w:tc>
          <w:tcPr>
            <w:tcW w:w="7120" w:type="dxa"/>
            <w:vAlign w:val="bottom"/>
          </w:tcPr>
          <w:p>
            <w:pPr>
              <w:ind w:left="340"/>
              <w:spacing w:after="0"/>
              <w:rPr>
                <w:sz w:val="20"/>
                <w:szCs w:val="20"/>
                <w:color w:val="auto"/>
              </w:rPr>
            </w:pPr>
            <w:r>
              <w:rPr>
                <w:rFonts w:ascii="Arial" w:cs="Arial" w:eastAsia="Arial" w:hAnsi="Arial"/>
                <w:sz w:val="16"/>
                <w:szCs w:val="16"/>
                <w:color w:val="auto"/>
              </w:rPr>
              <w:t>Total Shareholders' Equity</w:t>
            </w:r>
          </w:p>
        </w:tc>
        <w:tc>
          <w:tcPr>
            <w:tcW w:w="10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1,711,116</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1,618,055</w:t>
            </w:r>
          </w:p>
        </w:tc>
      </w:tr>
      <w:tr>
        <w:trPr>
          <w:trHeight w:val="260"/>
        </w:trPr>
        <w:tc>
          <w:tcPr>
            <w:tcW w:w="7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Redeemable noncontrolling interest</w:t>
            </w:r>
          </w:p>
        </w:tc>
        <w:tc>
          <w:tcPr>
            <w:tcW w:w="10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39,510</w:t>
            </w:r>
          </w:p>
        </w:tc>
      </w:tr>
      <w:tr>
        <w:trPr>
          <w:trHeight w:val="25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Shareholders' Equity and Redeemable Noncontrolling Interest</w:t>
            </w:r>
          </w:p>
        </w:tc>
        <w:tc>
          <w:tcPr>
            <w:tcW w:w="10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1,711,116</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1,657,565</w:t>
            </w:r>
          </w:p>
        </w:tc>
      </w:tr>
      <w:tr>
        <w:trPr>
          <w:trHeight w:val="261"/>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 and Redeemable Noncontrolling Interest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3,065,298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2,907,512</w:t>
            </w:r>
          </w:p>
        </w:tc>
      </w:tr>
      <w:tr>
        <w:trPr>
          <w:trHeight w:val="20"/>
        </w:trPr>
        <w:tc>
          <w:tcPr>
            <w:tcW w:w="7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59" w:right="339" w:bottom="5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568"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2020 AND SEPTEMBER 30, 2019</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70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20"/>
                <w:szCs w:val="20"/>
                <w:color w:val="auto"/>
              </w:rPr>
            </w:pPr>
          </w:p>
        </w:tc>
        <w:tc>
          <w:tcPr>
            <w:tcW w:w="264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196"/>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r>
      <w:tr>
        <w:trPr>
          <w:trHeight w:val="228"/>
        </w:trPr>
        <w:tc>
          <w:tcPr>
            <w:tcW w:w="5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560" w:type="dxa"/>
            <w:vAlign w:val="bottom"/>
            <w:gridSpan w:val="7"/>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270"/>
        </w:trPr>
        <w:tc>
          <w:tcPr>
            <w:tcW w:w="5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701,729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710,441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2,037,059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2,080,430</w:t>
            </w:r>
          </w:p>
        </w:tc>
      </w:tr>
      <w:tr>
        <w:trPr>
          <w:trHeight w:val="270"/>
        </w:trPr>
        <w:tc>
          <w:tcPr>
            <w:tcW w:w="5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520" w:type="dxa"/>
            <w:vAlign w:val="bottom"/>
          </w:tcPr>
          <w:p>
            <w:pPr>
              <w:ind w:left="340"/>
              <w:spacing w:after="0"/>
              <w:rPr>
                <w:sz w:val="20"/>
                <w:szCs w:val="20"/>
                <w:color w:val="auto"/>
              </w:rPr>
            </w:pPr>
            <w:r>
              <w:rPr>
                <w:rFonts w:ascii="Arial" w:cs="Arial" w:eastAsia="Arial" w:hAnsi="Arial"/>
                <w:sz w:val="16"/>
                <w:szCs w:val="16"/>
                <w:color w:val="auto"/>
              </w:rPr>
              <w:t>Direct costs</w:t>
            </w: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493,410</w:t>
            </w:r>
          </w:p>
        </w:tc>
        <w:tc>
          <w:tcPr>
            <w:tcW w:w="22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499,791</w:t>
            </w:r>
          </w:p>
        </w:tc>
        <w:tc>
          <w:tcPr>
            <w:tcW w:w="22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1,444,536</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1,465,944</w:t>
            </w:r>
          </w:p>
        </w:tc>
      </w:tr>
      <w:tr>
        <w:trPr>
          <w:trHeight w:val="253"/>
        </w:trPr>
        <w:tc>
          <w:tcPr>
            <w:tcW w:w="5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 expense</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83,117</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85,449</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253,812</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250,564</w:t>
            </w:r>
          </w:p>
        </w:tc>
      </w:tr>
      <w:tr>
        <w:trPr>
          <w:trHeight w:val="233"/>
        </w:trPr>
        <w:tc>
          <w:tcPr>
            <w:tcW w:w="55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16,801</w:t>
            </w:r>
          </w:p>
        </w:tc>
        <w:tc>
          <w:tcPr>
            <w:tcW w:w="22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15,157</w:t>
            </w:r>
          </w:p>
        </w:tc>
        <w:tc>
          <w:tcPr>
            <w:tcW w:w="22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48,981</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45,842</w:t>
            </w:r>
          </w:p>
        </w:tc>
      </w:tr>
      <w:tr>
        <w:trPr>
          <w:trHeight w:val="246"/>
        </w:trPr>
        <w:tc>
          <w:tcPr>
            <w:tcW w:w="5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Restructuring</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18,089</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5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593,328</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600,397</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1,765,418</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1,762,350</w:t>
            </w:r>
          </w:p>
        </w:tc>
      </w:tr>
      <w:tr>
        <w:trPr>
          <w:trHeight w:val="243"/>
        </w:trPr>
        <w:tc>
          <w:tcPr>
            <w:tcW w:w="5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108,401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110,044</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271,641</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318,080</w:t>
            </w:r>
          </w:p>
        </w:tc>
      </w:tr>
      <w:tr>
        <w:trPr>
          <w:trHeight w:val="233"/>
        </w:trPr>
        <w:tc>
          <w:tcPr>
            <w:tcW w:w="55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268</w:t>
            </w:r>
          </w:p>
        </w:tc>
        <w:tc>
          <w:tcPr>
            <w:tcW w:w="22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1,852</w:t>
            </w:r>
          </w:p>
        </w:tc>
        <w:tc>
          <w:tcPr>
            <w:tcW w:w="22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2,518</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5,377</w:t>
            </w:r>
          </w:p>
        </w:tc>
      </w:tr>
      <w:tr>
        <w:trPr>
          <w:trHeight w:val="260"/>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(3,239)</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(3,393)</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(9,640)</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(9,946)</w:t>
            </w:r>
          </w:p>
        </w:tc>
      </w:tr>
      <w:tr>
        <w:trPr>
          <w:trHeight w:val="243"/>
        </w:trPr>
        <w:tc>
          <w:tcPr>
            <w:tcW w:w="5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105,430</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108,503</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264,519</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313,511</w:t>
            </w:r>
          </w:p>
        </w:tc>
      </w:tr>
      <w:tr>
        <w:trPr>
          <w:trHeight w:val="25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(13,706)</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(13,020)</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(32,706)</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(37,516)</w:t>
            </w:r>
          </w:p>
        </w:tc>
      </w:tr>
      <w:tr>
        <w:trPr>
          <w:trHeight w:val="243"/>
        </w:trPr>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520" w:type="dxa"/>
            <w:vAlign w:val="bottom"/>
          </w:tcPr>
          <w:p>
            <w:pPr>
              <w:ind w:left="20"/>
              <w:spacing w:after="0"/>
              <w:rPr>
                <w:sz w:val="20"/>
                <w:szCs w:val="20"/>
                <w:color w:val="auto"/>
              </w:rPr>
            </w:pPr>
            <w:r>
              <w:rPr>
                <w:rFonts w:ascii="Arial" w:cs="Arial" w:eastAsia="Arial" w:hAnsi="Arial"/>
                <w:sz w:val="16"/>
                <w:szCs w:val="16"/>
                <w:color w:val="auto"/>
              </w:rPr>
              <w:t>Income before share of earnings from equity method investments</w:t>
            </w:r>
          </w:p>
        </w:tc>
        <w:tc>
          <w:tcPr>
            <w:tcW w:w="1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91,724</w:t>
            </w:r>
          </w:p>
        </w:tc>
        <w:tc>
          <w:tcPr>
            <w:tcW w:w="22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95,483</w:t>
            </w:r>
          </w:p>
        </w:tc>
        <w:tc>
          <w:tcPr>
            <w:tcW w:w="22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231,813</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275,995</w:t>
            </w:r>
          </w:p>
        </w:tc>
      </w:tr>
      <w:tr>
        <w:trPr>
          <w:trHeight w:val="260"/>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of equity method investments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91,641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95,483</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231,730</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275,995</w:t>
            </w:r>
          </w:p>
        </w:tc>
      </w:tr>
      <w:tr>
        <w:trPr>
          <w:trHeight w:val="25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r>
      <w:tr>
        <w:trPr>
          <w:trHeight w:val="261"/>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91,641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94,825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231,097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274,979</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Ordinary Share attributable to the Group (note 11):</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7"/>
        </w:trPr>
        <w:tc>
          <w:tcPr>
            <w:tcW w:w="5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61"/>
        </w:trPr>
        <w:tc>
          <w:tcPr>
            <w:tcW w:w="5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5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5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5520" w:type="dxa"/>
            <w:vAlign w:val="bottom"/>
          </w:tcPr>
          <w:p>
            <w:pPr>
              <w:ind w:left="20"/>
              <w:spacing w:after="0"/>
              <w:rPr>
                <w:sz w:val="20"/>
                <w:szCs w:val="20"/>
                <w:color w:val="auto"/>
              </w:rPr>
            </w:pPr>
            <w:r>
              <w:rPr>
                <w:rFonts w:ascii="Arial" w:cs="Arial" w:eastAsia="Arial" w:hAnsi="Arial"/>
                <w:sz w:val="16"/>
                <w:szCs w:val="16"/>
                <w:color w:val="auto"/>
              </w:rPr>
              <w:t>Weighted average number of Ordinary Shares outstanding:</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6"/>
        </w:trPr>
        <w:tc>
          <w:tcPr>
            <w:tcW w:w="5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7"/>
        </w:trPr>
        <w:tc>
          <w:tcPr>
            <w:tcW w:w="55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52,737,299</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54,004,963</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52,885,252</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53,935,939</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5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6"/>
        </w:trPr>
        <w:tc>
          <w:tcPr>
            <w:tcW w:w="55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53,194,327</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54,550,672</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53,283,680</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54,386,066</w:t>
            </w:r>
          </w:p>
        </w:tc>
      </w:tr>
      <w:tr>
        <w:trPr>
          <w:trHeight w:val="27"/>
        </w:trPr>
        <w:tc>
          <w:tcPr>
            <w:tcW w:w="5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NINE MONTHS ENDED SEPTEMBER 30, 2020 AND SEPTEMBER 30, 2019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4"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31750</wp:posOffset>
            </wp:positionV>
            <wp:extent cx="1800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r>
      <w:tr>
        <w:trPr>
          <w:trHeight w:val="228"/>
        </w:trPr>
        <w:tc>
          <w:tcPr>
            <w:tcW w:w="7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7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660" w:type="dxa"/>
            <w:vAlign w:val="bottom"/>
            <w:gridSpan w:val="3"/>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7200" w:type="dxa"/>
            <w:vAlign w:val="bottom"/>
          </w:tcPr>
          <w:p>
            <w:pPr>
              <w:ind w:left="120"/>
              <w:spacing w:after="0"/>
              <w:rPr>
                <w:sz w:val="20"/>
                <w:szCs w:val="20"/>
                <w:color w:val="auto"/>
              </w:rPr>
            </w:pPr>
            <w:r>
              <w:rPr>
                <w:rFonts w:ascii="Arial" w:cs="Arial" w:eastAsia="Arial" w:hAnsi="Arial"/>
                <w:sz w:val="16"/>
                <w:szCs w:val="16"/>
                <w:b w:val="1"/>
                <w:bCs w:val="1"/>
                <w:color w:val="auto"/>
              </w:rPr>
              <w:t>Cash flows from operating activities:</w:t>
            </w: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231,730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275,995</w:t>
            </w:r>
          </w:p>
        </w:tc>
      </w:tr>
      <w:tr>
        <w:trPr>
          <w:trHeight w:val="233"/>
        </w:trPr>
        <w:tc>
          <w:tcPr>
            <w:tcW w:w="7200" w:type="dxa"/>
            <w:vAlign w:val="bottom"/>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 on disposal of property, plant and equipment</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123</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34,553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34,271</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Impairment of right-of-use assets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5,411</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Reduction in carrying value of operating right-of-use assets</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21,367</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22,867</w:t>
            </w:r>
          </w:p>
        </w:tc>
      </w:tr>
      <w:tr>
        <w:trPr>
          <w:trHeight w:val="253"/>
        </w:trPr>
        <w:tc>
          <w:tcPr>
            <w:tcW w:w="7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intangibles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14,428</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11,571</w:t>
            </w:r>
          </w:p>
        </w:tc>
      </w:tr>
      <w:tr>
        <w:trPr>
          <w:trHeight w:val="233"/>
        </w:trPr>
        <w:tc>
          <w:tcPr>
            <w:tcW w:w="7200" w:type="dxa"/>
            <w:vAlign w:val="bottom"/>
          </w:tcPr>
          <w:p>
            <w:pPr>
              <w:ind w:left="240"/>
              <w:spacing w:after="0"/>
              <w:rPr>
                <w:sz w:val="20"/>
                <w:szCs w:val="20"/>
                <w:color w:val="auto"/>
              </w:rPr>
            </w:pPr>
            <w:r>
              <w:rPr>
                <w:rFonts w:ascii="Arial" w:cs="Arial" w:eastAsia="Arial" w:hAnsi="Arial"/>
                <w:sz w:val="16"/>
                <w:szCs w:val="16"/>
                <w:color w:val="auto"/>
              </w:rPr>
              <w:t>Amortization of government grants</w:t>
            </w:r>
          </w:p>
        </w:tc>
        <w:tc>
          <w:tcPr>
            <w:tcW w:w="1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on short term investments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Interest on non-current operating lease liability</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1,126</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gain on sale of short term investments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200" w:type="dxa"/>
            <w:vAlign w:val="bottom"/>
          </w:tcPr>
          <w:p>
            <w:pPr>
              <w:ind w:left="220"/>
              <w:spacing w:after="0"/>
              <w:rPr>
                <w:sz w:val="20"/>
                <w:szCs w:val="20"/>
                <w:color w:val="auto"/>
              </w:rPr>
            </w:pPr>
            <w:r>
              <w:rPr>
                <w:rFonts w:ascii="Arial" w:cs="Arial" w:eastAsia="Arial" w:hAnsi="Arial"/>
                <w:sz w:val="16"/>
                <w:szCs w:val="16"/>
                <w:color w:val="auto"/>
              </w:rPr>
              <w:t>Gain on re-measurement of financial assets</w:t>
            </w:r>
          </w:p>
        </w:tc>
        <w:tc>
          <w:tcPr>
            <w:tcW w:w="1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80"/>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 on settlement of derivative</w:t>
            </w:r>
          </w:p>
        </w:tc>
        <w:tc>
          <w:tcPr>
            <w:tcW w:w="1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(905)</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Loss on equity method investments</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 compensation expense</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20,157</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21,065</w:t>
            </w:r>
          </w:p>
        </w:tc>
      </w:tr>
      <w:tr>
        <w:trPr>
          <w:trHeight w:val="233"/>
        </w:trPr>
        <w:tc>
          <w:tcPr>
            <w:tcW w:w="7200" w:type="dxa"/>
            <w:vAlign w:val="bottom"/>
          </w:tcPr>
          <w:p>
            <w:pPr>
              <w:ind w:left="240"/>
              <w:spacing w:after="0"/>
              <w:rPr>
                <w:sz w:val="20"/>
                <w:szCs w:val="20"/>
                <w:color w:val="auto"/>
              </w:rPr>
            </w:pPr>
            <w:r>
              <w:rPr>
                <w:rFonts w:ascii="Arial" w:cs="Arial" w:eastAsia="Arial" w:hAnsi="Arial"/>
                <w:sz w:val="16"/>
                <w:szCs w:val="16"/>
                <w:color w:val="auto"/>
              </w:rPr>
              <w:t>Amortization of interest rate hedge</w:t>
            </w:r>
          </w:p>
        </w:tc>
        <w:tc>
          <w:tcPr>
            <w:tcW w:w="1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253"/>
        </w:trPr>
        <w:tc>
          <w:tcPr>
            <w:tcW w:w="7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financing costs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368</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Deferred taxes</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1,416</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3,179</w:t>
            </w:r>
          </w:p>
        </w:tc>
      </w:tr>
      <w:tr>
        <w:trPr>
          <w:trHeight w:val="253"/>
        </w:trPr>
        <w:tc>
          <w:tcPr>
            <w:tcW w:w="7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Decrease in accounts receivable</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24,623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16,264</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Increase in unbilled revenue</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(17,635)</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(126,375)</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Decrease in other receivables</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5,373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Increase in prepayments and other current assets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(5,862)</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Increase in other non-current assets</w:t>
            </w:r>
          </w:p>
        </w:tc>
        <w:tc>
          <w:tcPr>
            <w:tcW w:w="1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(1,999)</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Increase in unearned revenue</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82,386</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42,119</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(Decrease)/increase in other current liabilities</w:t>
            </w:r>
          </w:p>
        </w:tc>
        <w:tc>
          <w:tcPr>
            <w:tcW w:w="1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(21,640)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Decrease in operating lease liabilities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(22,797)</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(25,440)</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Increase in other non-current liabilities</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887</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1,647</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(Decrease)/increase in income taxes payable</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(9,428)</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w:t>
            </w:r>
          </w:p>
        </w:tc>
      </w:tr>
      <w:tr>
        <w:trPr>
          <w:trHeight w:val="250"/>
        </w:trPr>
        <w:tc>
          <w:tcPr>
            <w:tcW w:w="72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Increase/(decrease) in accounts payable</w:t>
            </w:r>
          </w:p>
        </w:tc>
        <w:tc>
          <w:tcPr>
            <w:tcW w:w="1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4,271</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43"/>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372,613</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278,096</w:t>
            </w:r>
          </w:p>
        </w:tc>
      </w:tr>
      <w:tr>
        <w:trPr>
          <w:trHeight w:val="233"/>
        </w:trPr>
        <w:tc>
          <w:tcPr>
            <w:tcW w:w="7200" w:type="dxa"/>
            <w:vAlign w:val="bottom"/>
          </w:tcPr>
          <w:p>
            <w:pPr>
              <w:ind w:left="120"/>
              <w:spacing w:after="0"/>
              <w:rPr>
                <w:sz w:val="20"/>
                <w:szCs w:val="20"/>
                <w:color w:val="auto"/>
              </w:rPr>
            </w:pPr>
            <w:r>
              <w:rPr>
                <w:rFonts w:ascii="Arial" w:cs="Arial" w:eastAsia="Arial" w:hAnsi="Arial"/>
                <w:sz w:val="16"/>
                <w:szCs w:val="16"/>
                <w:b w:val="1"/>
                <w:bCs w:val="1"/>
                <w:color w:val="auto"/>
              </w:rPr>
              <w:t>Cash flows from investing activities:</w:t>
            </w: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property, plant and equipment</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(28,026)</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(31,929)</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Purchase of subsidiary undertakings</w:t>
            </w:r>
          </w:p>
        </w:tc>
        <w:tc>
          <w:tcPr>
            <w:tcW w:w="1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(47,931)</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(116,431)</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equity method investments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Cash acquired with subsidiary undertaking</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10,170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11,700</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 of available for sale investments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(16,075)</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Sale of available for sale investments</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47,902</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23,814</w:t>
            </w:r>
          </w:p>
        </w:tc>
      </w:tr>
      <w:tr>
        <w:trPr>
          <w:trHeight w:val="260"/>
        </w:trPr>
        <w:tc>
          <w:tcPr>
            <w:tcW w:w="72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Purchase of investments in equity - long term</w:t>
            </w:r>
          </w:p>
        </w:tc>
        <w:tc>
          <w:tcPr>
            <w:tcW w:w="1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(2,737)</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(3,476)</w:t>
            </w:r>
          </w:p>
        </w:tc>
      </w:tr>
      <w:tr>
        <w:trPr>
          <w:trHeight w:val="233"/>
        </w:trPr>
        <w:tc>
          <w:tcPr>
            <w:tcW w:w="7200" w:type="dxa"/>
            <w:vAlign w:val="bottom"/>
          </w:tcPr>
          <w:p>
            <w:pPr>
              <w:ind w:left="120"/>
              <w:spacing w:after="0"/>
              <w:rPr>
                <w:sz w:val="20"/>
                <w:szCs w:val="20"/>
                <w:color w:val="auto"/>
              </w:rPr>
            </w:pPr>
            <w:r>
              <w:rPr>
                <w:rFonts w:ascii="Arial" w:cs="Arial" w:eastAsia="Arial" w:hAnsi="Arial"/>
                <w:sz w:val="16"/>
                <w:szCs w:val="16"/>
                <w:color w:val="auto"/>
              </w:rPr>
              <w:t>Net cash used in investing activities</w:t>
            </w:r>
          </w:p>
        </w:tc>
        <w:tc>
          <w:tcPr>
            <w:tcW w:w="1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(23,072)</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(132,397)</w:t>
            </w:r>
          </w:p>
        </w:tc>
      </w:tr>
      <w:tr>
        <w:trPr>
          <w:trHeight w:val="253"/>
        </w:trPr>
        <w:tc>
          <w:tcPr>
            <w:tcW w:w="72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Cash flows from financing activities: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Proceeds from exercise of equity compensation</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12,349</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21,054</w:t>
            </w:r>
          </w:p>
        </w:tc>
      </w:tr>
      <w:tr>
        <w:trPr>
          <w:trHeight w:val="253"/>
        </w:trPr>
        <w:tc>
          <w:tcPr>
            <w:tcW w:w="7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 issue costs</w:t>
            </w:r>
          </w:p>
        </w:tc>
        <w:tc>
          <w:tcPr>
            <w:tcW w:w="1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3"/>
        </w:trPr>
        <w:tc>
          <w:tcPr>
            <w:tcW w:w="7200" w:type="dxa"/>
            <w:vAlign w:val="bottom"/>
          </w:tcPr>
          <w:p>
            <w:pPr>
              <w:ind w:left="260"/>
              <w:spacing w:after="0"/>
              <w:rPr>
                <w:sz w:val="20"/>
                <w:szCs w:val="20"/>
                <w:color w:val="auto"/>
              </w:rPr>
            </w:pPr>
            <w:r>
              <w:rPr>
                <w:rFonts w:ascii="Arial" w:cs="Arial" w:eastAsia="Arial" w:hAnsi="Arial"/>
                <w:sz w:val="16"/>
                <w:szCs w:val="16"/>
                <w:color w:val="auto"/>
              </w:rPr>
              <w:t>Repurchase of ordinary shares</w:t>
            </w:r>
          </w:p>
        </w:tc>
        <w:tc>
          <w:tcPr>
            <w:tcW w:w="1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(141,573)</w:t>
            </w:r>
          </w:p>
        </w:tc>
      </w:tr>
      <w:tr>
        <w:trPr>
          <w:trHeight w:val="246"/>
        </w:trPr>
        <w:tc>
          <w:tcPr>
            <w:tcW w:w="72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Share repurchase costs</w:t>
            </w:r>
          </w:p>
        </w:tc>
        <w:tc>
          <w:tcPr>
            <w:tcW w:w="1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3"/>
        </w:trPr>
        <w:tc>
          <w:tcPr>
            <w:tcW w:w="720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1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(162,801)</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(120,631)</w:t>
            </w:r>
          </w:p>
        </w:tc>
      </w:tr>
      <w:tr>
        <w:trPr>
          <w:trHeight w:val="260"/>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946</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(3,315)</w:t>
            </w:r>
          </w:p>
        </w:tc>
      </w:tr>
      <w:tr>
        <w:trPr>
          <w:trHeight w:val="233"/>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1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187,686</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21,753</w:t>
            </w:r>
          </w:p>
        </w:tc>
      </w:tr>
      <w:tr>
        <w:trPr>
          <w:trHeight w:val="260"/>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520,309</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395,851</w:t>
            </w:r>
          </w:p>
        </w:tc>
      </w:tr>
      <w:tr>
        <w:trPr>
          <w:trHeight w:val="236"/>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707,995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417,604</w:t>
            </w:r>
          </w:p>
        </w:tc>
      </w:tr>
      <w:tr>
        <w:trPr>
          <w:trHeight w:val="27"/>
        </w:trPr>
        <w:tc>
          <w:tcPr>
            <w:tcW w:w="7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45" w:right="339" w:bottom="2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284"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 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2140" w:type="dxa"/>
            <w:vAlign w:val="bottom"/>
            <w:tcBorders>
              <w:bottom w:val="single" w:sz="8" w:color="auto"/>
            </w:tcBorders>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Group</w:t>
            </w:r>
          </w:p>
        </w:tc>
        <w:tc>
          <w:tcPr>
            <w:tcW w:w="9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Accumulated</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Additional</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Redeemable</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5"/>
          </w:tcPr>
          <w:p>
            <w:pPr>
              <w:jc w:val="right"/>
              <w:spacing w:after="0"/>
              <w:rPr>
                <w:sz w:val="20"/>
                <w:szCs w:val="20"/>
                <w:color w:val="auto"/>
              </w:rPr>
            </w:pPr>
            <w:r>
              <w:rPr>
                <w:rFonts w:ascii="Arial" w:cs="Arial" w:eastAsia="Arial" w:hAnsi="Arial"/>
                <w:sz w:val="16"/>
                <w:szCs w:val="16"/>
                <w:b w:val="1"/>
                <w:bCs w:val="1"/>
                <w:color w:val="auto"/>
              </w:rPr>
              <w:t>Paid-in Undenominated Comprehensive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9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Noncontrolling</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Income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380" w:type="dxa"/>
            <w:vAlign w:val="bottom"/>
            <w:gridSpan w:val="6"/>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(dollars in thousands, except share data)</w:t>
            </w: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53,622,206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577,961</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$ 1,110,226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$ 1,618,055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39,510</w:t>
            </w: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7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231,097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231,097</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40"/>
        </w:trPr>
        <w:tc>
          <w:tcPr>
            <w:tcW w:w="274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12,176</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12,176</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Currency impact of long term funding</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of tax)</w:t>
            </w:r>
          </w:p>
        </w:tc>
        <w:tc>
          <w:tcPr>
            <w:tcW w:w="9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740" w:type="dxa"/>
            <w:vAlign w:val="bottom"/>
          </w:tcPr>
          <w:p>
            <w:pPr>
              <w:ind w:left="20"/>
              <w:spacing w:after="0"/>
              <w:rPr>
                <w:sz w:val="20"/>
                <w:szCs w:val="20"/>
                <w:color w:val="auto"/>
              </w:rPr>
            </w:pPr>
            <w:r>
              <w:rPr>
                <w:rFonts w:ascii="Arial" w:cs="Arial" w:eastAsia="Arial" w:hAnsi="Arial"/>
                <w:sz w:val="16"/>
                <w:szCs w:val="16"/>
                <w:color w:val="auto"/>
              </w:rPr>
              <w:t>Transfer to realized capital gain</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(232)</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(232)</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interest rate hedge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740" w:type="dxa"/>
            <w:vAlign w:val="bottom"/>
          </w:tcPr>
          <w:p>
            <w:pPr>
              <w:ind w:left="20"/>
              <w:spacing w:after="0"/>
              <w:rPr>
                <w:sz w:val="20"/>
                <w:szCs w:val="20"/>
                <w:color w:val="auto"/>
              </w:rPr>
            </w:pPr>
            <w:r>
              <w:rPr>
                <w:rFonts w:ascii="Arial" w:cs="Arial" w:eastAsia="Arial" w:hAnsi="Arial"/>
                <w:sz w:val="16"/>
                <w:szCs w:val="16"/>
                <w:color w:val="auto"/>
              </w:rPr>
              <w:t>Loss on interest rate hedge</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(905)</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(905)</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cash flow hedge (net of</w:t>
            </w: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tax)</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231,097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240,418</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74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181,144</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12,323</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12,335</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 of restricted share units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207,111</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6"/>
                <w:szCs w:val="16"/>
                <w:color w:val="auto"/>
              </w:rPr>
              <w:t>Non-cash stock compensation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20"/>
              <w:spacing w:after="0"/>
              <w:rPr>
                <w:sz w:val="20"/>
                <w:szCs w:val="20"/>
                <w:color w:val="auto"/>
              </w:rPr>
            </w:pPr>
            <w:r>
              <w:rPr>
                <w:rFonts w:ascii="Arial" w:cs="Arial" w:eastAsia="Arial" w:hAnsi="Arial"/>
                <w:sz w:val="16"/>
                <w:szCs w:val="16"/>
                <w:color w:val="auto"/>
              </w:rPr>
              <w:t>expense</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19,966</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19,966</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740" w:type="dxa"/>
            <w:vAlign w:val="bottom"/>
          </w:tcPr>
          <w:p>
            <w:pPr>
              <w:ind w:left="20"/>
              <w:spacing w:after="0"/>
              <w:rPr>
                <w:sz w:val="20"/>
                <w:szCs w:val="20"/>
                <w:color w:val="auto"/>
              </w:rPr>
            </w:pPr>
            <w:r>
              <w:rPr>
                <w:rFonts w:ascii="Arial" w:cs="Arial" w:eastAsia="Arial" w:hAnsi="Arial"/>
                <w:sz w:val="16"/>
                <w:szCs w:val="16"/>
                <w:color w:val="auto"/>
              </w:rPr>
              <w:t>Share repurchase program</w:t>
            </w:r>
          </w:p>
        </w:tc>
        <w:tc>
          <w:tcPr>
            <w:tcW w:w="940" w:type="dxa"/>
            <w:vAlign w:val="bottom"/>
          </w:tcPr>
          <w:p>
            <w:pPr>
              <w:ind w:left="80"/>
              <w:spacing w:after="0"/>
              <w:rPr>
                <w:sz w:val="20"/>
                <w:szCs w:val="20"/>
                <w:color w:val="auto"/>
              </w:rPr>
            </w:pPr>
            <w:r>
              <w:rPr>
                <w:rFonts w:ascii="Arial" w:cs="Arial" w:eastAsia="Arial" w:hAnsi="Arial"/>
                <w:sz w:val="16"/>
                <w:szCs w:val="16"/>
                <w:color w:val="auto"/>
              </w:rPr>
              <w:t>(1,235,218)</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(175,000)</w:t>
            </w:r>
          </w:p>
        </w:tc>
        <w:tc>
          <w:tcPr>
            <w:tcW w:w="960" w:type="dxa"/>
            <w:vAlign w:val="bottom"/>
          </w:tcPr>
          <w:p>
            <w:pPr>
              <w:jc w:val="right"/>
              <w:spacing w:after="0"/>
              <w:rPr>
                <w:sz w:val="20"/>
                <w:szCs w:val="20"/>
                <w:color w:val="auto"/>
              </w:rPr>
            </w:pPr>
            <w:r>
              <w:rPr>
                <w:rFonts w:ascii="Arial" w:cs="Arial" w:eastAsia="Arial" w:hAnsi="Arial"/>
                <w:sz w:val="16"/>
                <w:szCs w:val="16"/>
                <w:color w:val="auto"/>
              </w:rPr>
              <w:t>(175,000)</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6"/>
                <w:szCs w:val="16"/>
                <w:color w:val="auto"/>
              </w:rPr>
              <w:t>Noncontrolling interest adjustment to</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20"/>
              <w:spacing w:after="0"/>
              <w:rPr>
                <w:sz w:val="20"/>
                <w:szCs w:val="20"/>
                <w:color w:val="auto"/>
              </w:rPr>
            </w:pPr>
            <w:r>
              <w:rPr>
                <w:rFonts w:ascii="Arial" w:cs="Arial" w:eastAsia="Arial" w:hAnsi="Arial"/>
                <w:sz w:val="16"/>
                <w:szCs w:val="16"/>
                <w:color w:val="auto"/>
              </w:rPr>
              <w:t>redemption amount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(4,522)</w:t>
            </w:r>
          </w:p>
        </w:tc>
        <w:tc>
          <w:tcPr>
            <w:tcW w:w="960" w:type="dxa"/>
            <w:vAlign w:val="bottom"/>
          </w:tcPr>
          <w:p>
            <w:pPr>
              <w:jc w:val="right"/>
              <w:spacing w:after="0"/>
              <w:rPr>
                <w:sz w:val="20"/>
                <w:szCs w:val="20"/>
                <w:color w:val="auto"/>
              </w:rPr>
            </w:pPr>
            <w:r>
              <w:rPr>
                <w:rFonts w:ascii="Arial" w:cs="Arial" w:eastAsia="Arial" w:hAnsi="Arial"/>
                <w:sz w:val="16"/>
                <w:szCs w:val="16"/>
                <w:color w:val="auto"/>
              </w:rPr>
              <w:t>(4,522)</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call option on</w:t>
            </w: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 shares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(44,665)</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Balance at September 30, 2020</w:t>
            </w: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52,775,243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610,240</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(66,498)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$ 1,161,661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$ 1,711,116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30, 2020</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68" w:lineRule="exact"/>
        <w:rPr>
          <w:sz w:val="20"/>
          <w:szCs w:val="20"/>
          <w:color w:val="auto"/>
        </w:rPr>
      </w:pPr>
    </w:p>
    <w:p>
      <w:pPr>
        <w:jc w:val="both"/>
        <w:ind w:firstLine="309"/>
        <w:spacing w:after="0" w:line="250"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30" w:lineRule="exact"/>
        <w:rPr>
          <w:sz w:val="20"/>
          <w:szCs w:val="20"/>
          <w:color w:val="auto"/>
        </w:rPr>
      </w:pPr>
    </w:p>
    <w:p>
      <w:pPr>
        <w:jc w:val="both"/>
        <w:ind w:firstLine="269"/>
        <w:spacing w:after="0" w:line="251"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2019 (see </w:t>
      </w:r>
      <w:r>
        <w:rPr>
          <w:rFonts w:ascii="Arial" w:cs="Arial" w:eastAsia="Arial" w:hAnsi="Arial"/>
          <w:sz w:val="16"/>
          <w:szCs w:val="16"/>
          <w:i w:val="1"/>
          <w:iCs w:val="1"/>
          <w:color w:val="auto"/>
        </w:rPr>
        <w:t>note 2 - Significant accounting policies</w:t>
      </w:r>
      <w:r>
        <w:rPr>
          <w:rFonts w:ascii="Arial" w:cs="Arial" w:eastAsia="Arial" w:hAnsi="Arial"/>
          <w:sz w:val="16"/>
          <w:szCs w:val="16"/>
          <w:color w:val="auto"/>
        </w:rPr>
        <w:t xml:space="preserve"> for impact of adoption of any new accounting standards). Operating results for the nine months ended September 30, 2020 are not necessarily indicative of the results that may be expected for the fiscal period ending December 31, 2020.</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Equity Method Investments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investments that are not consolidated are accounted for under the equity method if the Company exercises significant influence that is considered to be greater than minor. These investments are classified as equity method investments on the accompanying Condensed Consolidated Balance Sheet. The Company records its pro rata share of the earnings/losses of these investments in Share of equity method investments in the Condensed Consolidated Statement of Operations. The Company reviews these for impairment whenever events or changes in circumstances indicate that the carrying amounts may not be recoverable.</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Redeemable noncontrolling interests and equity</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May 23, 2019, ICON acquired a majority ownership interest in MeDiNova. Included in the purchase agreement are put and call option arrangements with the noncontrolling interest holders that require (put option) or enable (call option) ICON to purchase the remaining minority ownership at a future date. The option is accounted for as temporary equity, which is presented separately as redeemable noncontrolling interest on the Condensed Consolidated Balance Sheet. This classification reflects the assessment that the instruments are contingently redeemable in accordance with ASC 480-10-S99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Redeemable noncontrolling interests are accreted to their redemption value over the period from the date of issuance to the first date on which the option is exercisable. The change in the option's redemption value is recorded against retained earnings. In a computation of earnings per share, the accretion of redeemable noncontrolling interests to their redemption value is a reduction of net income attributable to the Group. Basic and diluted net income per ordinary share attributable to the Group includes the adjustment to reflect the accretion of the noncontrolling interest to its redemption value.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March 9, 2020 ICON exercised its option to call the outstanding shares in the noncontrolling interest to take 100% ownership of MeDiNova. On exercise of the call option, the noncontrolling interest is extinguished and a liability was recorded for the amount payable to the former noncontrolling interest holders. This liability was settled on July 17, 2020 for $43.9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assets - credit losses</w:t>
      </w:r>
    </w:p>
    <w:p>
      <w:pPr>
        <w:spacing w:after="0" w:line="248" w:lineRule="exact"/>
        <w:rPr>
          <w:sz w:val="20"/>
          <w:szCs w:val="20"/>
          <w:color w:val="auto"/>
        </w:rPr>
      </w:pPr>
    </w:p>
    <w:p>
      <w:pPr>
        <w:jc w:val="both"/>
        <w:ind w:firstLine="212"/>
        <w:spacing w:after="0" w:line="255" w:lineRule="auto"/>
        <w:rPr>
          <w:sz w:val="20"/>
          <w:szCs w:val="20"/>
          <w:color w:val="auto"/>
        </w:rPr>
      </w:pPr>
      <w:r>
        <w:rPr>
          <w:rFonts w:ascii="Arial" w:cs="Arial" w:eastAsia="Arial" w:hAnsi="Arial"/>
          <w:sz w:val="16"/>
          <w:szCs w:val="16"/>
          <w:color w:val="auto"/>
        </w:rPr>
        <w:t xml:space="preserve">On January 1, 2020, the Group adopted ASU 2016-13 </w:t>
      </w:r>
      <w:r>
        <w:rPr>
          <w:rFonts w:ascii="Arial" w:cs="Arial" w:eastAsia="Arial" w:hAnsi="Arial"/>
          <w:sz w:val="16"/>
          <w:szCs w:val="16"/>
          <w:i w:val="1"/>
          <w:iCs w:val="1"/>
          <w:color w:val="auto"/>
        </w:rPr>
        <w:t>'Measurement of Credit Losses on Financial Instruments (ASC 326)'</w:t>
      </w:r>
      <w:r>
        <w:rPr>
          <w:rFonts w:ascii="Arial" w:cs="Arial" w:eastAsia="Arial" w:hAnsi="Arial"/>
          <w:sz w:val="16"/>
          <w:szCs w:val="16"/>
          <w:color w:val="auto"/>
        </w:rPr>
        <w:t>, which significantly changes the way entities recognize impairment of many financial assets by requiring immediate recognition of estimated credit losses expected to occur over their remaining life. The update provides guidance on the measurement of credit losses for most financial assets and certain other instruments that are not measured at fair value through net income. The amendment replaces the current incurred loss impairment approach with a methodology to reflect expected credit losses and requires consideration of a broader range of reasonable and supportable information to explain credit loss estimates.</w:t>
      </w:r>
    </w:p>
    <w:p>
      <w:pPr>
        <w:spacing w:after="0" w:line="227" w:lineRule="exact"/>
        <w:rPr>
          <w:sz w:val="20"/>
          <w:szCs w:val="20"/>
          <w:color w:val="auto"/>
        </w:rPr>
      </w:pPr>
    </w:p>
    <w:p>
      <w:pPr>
        <w:jc w:val="both"/>
        <w:ind w:firstLine="266"/>
        <w:spacing w:after="0" w:line="251" w:lineRule="auto"/>
        <w:rPr>
          <w:sz w:val="20"/>
          <w:szCs w:val="20"/>
          <w:color w:val="auto"/>
        </w:rPr>
      </w:pPr>
      <w:r>
        <w:rPr>
          <w:rFonts w:ascii="Arial" w:cs="Arial" w:eastAsia="Arial" w:hAnsi="Arial"/>
          <w:sz w:val="16"/>
          <w:szCs w:val="16"/>
          <w:color w:val="auto"/>
        </w:rPr>
        <w:t>The Group adopted ASC 326 using the modified retrospective method for all in scope financial assets. Results for reporting periods beginning after January 1, 2020 are presented under ASC 326 while prior period amounts continue to be reported in accordance with previously applicable GAAP. The impact of transitioning to the new standard at January 1, 2020 was immaterial and no adjustment was recorded to retained earnings for the cumulative effect of adopting ASC 326.</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firstLine="222"/>
        <w:spacing w:after="0" w:line="249" w:lineRule="auto"/>
        <w:rPr>
          <w:sz w:val="20"/>
          <w:szCs w:val="20"/>
          <w:color w:val="auto"/>
        </w:rPr>
      </w:pPr>
      <w:r>
        <w:rPr>
          <w:rFonts w:ascii="Arial" w:cs="Arial" w:eastAsia="Arial" w:hAnsi="Arial"/>
          <w:sz w:val="16"/>
          <w:szCs w:val="16"/>
          <w:color w:val="auto"/>
        </w:rPr>
        <w:t>On transition to ASC 326, the Group has revised the methodology to calculate the allowance for credit losses. 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w:t>
      </w:r>
    </w:p>
    <w:p>
      <w:pPr>
        <w:spacing w:after="0" w:line="232" w:lineRule="exact"/>
        <w:rPr>
          <w:sz w:val="20"/>
          <w:szCs w:val="20"/>
          <w:color w:val="auto"/>
        </w:rPr>
      </w:pPr>
    </w:p>
    <w:p>
      <w:pPr>
        <w:jc w:val="both"/>
        <w:ind w:firstLine="202"/>
        <w:spacing w:after="0" w:line="260" w:lineRule="auto"/>
        <w:rPr>
          <w:sz w:val="20"/>
          <w:szCs w:val="20"/>
          <w:color w:val="auto"/>
        </w:rPr>
      </w:pPr>
      <w:r>
        <w:rPr>
          <w:rFonts w:ascii="Arial" w:cs="Arial" w:eastAsia="Arial" w:hAnsi="Arial"/>
          <w:sz w:val="16"/>
          <w:szCs w:val="16"/>
          <w:color w:val="auto"/>
        </w:rPr>
        <w:t>Changes in the allowance for credit losses are recorded as a provision for (or reversal of) credit loss expense in the Condensed Consolidated Statement of Operations. Losses are charged against the allowance when management believes the uncollectibility of a previously provisioned amount is confirmed.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248" w:lineRule="exact"/>
        <w:rPr>
          <w:sz w:val="20"/>
          <w:szCs w:val="20"/>
          <w:color w:val="auto"/>
        </w:rPr>
      </w:pPr>
    </w:p>
    <w:p>
      <w:pPr>
        <w:jc w:val="both"/>
        <w:ind w:firstLine="191"/>
        <w:spacing w:after="0" w:line="258" w:lineRule="auto"/>
        <w:rPr>
          <w:sz w:val="20"/>
          <w:szCs w:val="20"/>
          <w:color w:val="auto"/>
        </w:rPr>
      </w:pPr>
      <w:r>
        <w:rPr>
          <w:rFonts w:ascii="Arial" w:cs="Arial" w:eastAsia="Arial" w:hAnsi="Arial"/>
          <w:sz w:val="16"/>
          <w:szCs w:val="16"/>
          <w:color w:val="auto"/>
        </w:rPr>
        <w:t xml:space="preserve">The new leasing standard (ASC 842 </w:t>
      </w:r>
      <w:r>
        <w:rPr>
          <w:rFonts w:ascii="Arial" w:cs="Arial" w:eastAsia="Arial" w:hAnsi="Arial"/>
          <w:sz w:val="16"/>
          <w:szCs w:val="16"/>
          <w:i w:val="1"/>
          <w:iCs w:val="1"/>
          <w:color w:val="auto"/>
        </w:rPr>
        <w:t>'Leases'</w:t>
      </w:r>
      <w:r>
        <w:rPr>
          <w:rFonts w:ascii="Arial" w:cs="Arial" w:eastAsia="Arial" w:hAnsi="Arial"/>
          <w:sz w:val="16"/>
          <w:szCs w:val="16"/>
          <w:color w:val="auto"/>
        </w:rPr>
        <w:t>) was effective and adopted by ICON from January 1, 2019.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supersedes the requirements in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w:t>
      </w:r>
    </w:p>
    <w:p>
      <w:pPr>
        <w:spacing w:after="0" w:line="224"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ICON adopted the new standard under the cumulative effect adjustment approach. Under this transition method, the new standard is applied from January 1, 2019 without restatement of comparative period amounts. Operating lease liabilities and right-of-use assets of $106.5 million were recorded on the Condensed Consolidated Balance Sheet as at January 1, 2019.</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was no impact of adopting ASC 842 on opening retained earnings at January 1, 2019.</w:t>
      </w:r>
    </w:p>
    <w:p>
      <w:pPr>
        <w:spacing w:after="0" w:line="255"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68" w:lineRule="exact"/>
        <w:rPr>
          <w:rFonts w:ascii="Arial" w:cs="Arial" w:eastAsia="Arial" w:hAnsi="Arial"/>
          <w:sz w:val="16"/>
          <w:szCs w:val="16"/>
          <w:b w:val="1"/>
          <w:bCs w:val="1"/>
          <w:color w:val="auto"/>
        </w:rPr>
      </w:pPr>
    </w:p>
    <w:p>
      <w:pPr>
        <w:ind w:left="180"/>
        <w:spacing w:after="0"/>
        <w:rPr>
          <w:rFonts w:ascii="Arial" w:cs="Arial" w:eastAsia="Arial" w:hAnsi="Arial"/>
          <w:sz w:val="16"/>
          <w:szCs w:val="16"/>
          <w:b w:val="1"/>
          <w:bCs w:val="1"/>
          <w:color w:val="auto"/>
        </w:rPr>
      </w:pPr>
      <w:r>
        <w:rPr>
          <w:rFonts w:ascii="Arial" w:cs="Arial" w:eastAsia="Arial" w:hAnsi="Arial"/>
          <w:sz w:val="16"/>
          <w:szCs w:val="16"/>
          <w:color w:val="auto"/>
        </w:rPr>
        <w:t>Revenue disaggregated by customer profile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600" w:type="dxa"/>
            <w:vAlign w:val="bottom"/>
            <w:tcBorders>
              <w:bottom w:val="single" w:sz="8" w:color="auto"/>
            </w:tcBorders>
            <w:gridSpan w:val="3"/>
            <w:shd w:val="clear" w:color="auto" w:fill="CCEEFF"/>
          </w:tcPr>
          <w:p>
            <w:pPr>
              <w:jc w:val="center"/>
              <w:ind w:right="1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20"/>
                <w:szCs w:val="20"/>
                <w:color w:val="auto"/>
              </w:rPr>
            </w:pPr>
          </w:p>
        </w:tc>
        <w:tc>
          <w:tcPr>
            <w:tcW w:w="2540" w:type="dxa"/>
            <w:vAlign w:val="bottom"/>
            <w:tcBorders>
              <w:bottom w:val="single" w:sz="8" w:color="auto"/>
            </w:tcBorders>
            <w:gridSpan w:val="3"/>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Nine Months Ended</w:t>
            </w:r>
          </w:p>
        </w:tc>
      </w:tr>
      <w:tr>
        <w:trPr>
          <w:trHeight w:val="196"/>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r>
      <w:tr>
        <w:trPr>
          <w:trHeight w:val="228"/>
        </w:trPr>
        <w:tc>
          <w:tcPr>
            <w:tcW w:w="5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5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0" w:type="dxa"/>
            <w:vAlign w:val="bottom"/>
            <w:gridSpan w:val="3"/>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21"/>
                <w:szCs w:val="21"/>
                <w:color w:val="auto"/>
              </w:rPr>
            </w:pPr>
          </w:p>
        </w:tc>
        <w:tc>
          <w:tcPr>
            <w:tcW w:w="2540" w:type="dxa"/>
            <w:vAlign w:val="bottom"/>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Top client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87,231</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80,857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270,416</w:t>
            </w:r>
          </w:p>
        </w:tc>
      </w:tr>
      <w:tr>
        <w:trPr>
          <w:trHeight w:val="233"/>
        </w:trPr>
        <w:tc>
          <w:tcPr>
            <w:tcW w:w="5700" w:type="dxa"/>
            <w:vAlign w:val="bottom"/>
          </w:tcPr>
          <w:p>
            <w:pPr>
              <w:ind w:left="20"/>
              <w:spacing w:after="0"/>
              <w:rPr>
                <w:sz w:val="20"/>
                <w:szCs w:val="20"/>
                <w:color w:val="auto"/>
              </w:rPr>
            </w:pPr>
            <w:r>
              <w:rPr>
                <w:rFonts w:ascii="Arial" w:cs="Arial" w:eastAsia="Arial" w:hAnsi="Arial"/>
                <w:sz w:val="16"/>
                <w:szCs w:val="16"/>
                <w:color w:val="auto"/>
              </w:rPr>
              <w:t>Clients 2-5</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182,229</w:t>
            </w:r>
          </w:p>
        </w:tc>
        <w:tc>
          <w:tcPr>
            <w:tcW w:w="1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176,598</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568,573</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512,883</w:t>
            </w:r>
          </w:p>
        </w:tc>
      </w:tr>
      <w:tr>
        <w:trPr>
          <w:trHeight w:val="25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6-10</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89,062</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91,134</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249,807</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247,309</w:t>
            </w:r>
          </w:p>
        </w:tc>
      </w:tr>
      <w:tr>
        <w:trPr>
          <w:trHeight w:val="233"/>
        </w:trPr>
        <w:tc>
          <w:tcPr>
            <w:tcW w:w="5700" w:type="dxa"/>
            <w:vAlign w:val="bottom"/>
          </w:tcPr>
          <w:p>
            <w:pPr>
              <w:ind w:left="20"/>
              <w:spacing w:after="0"/>
              <w:rPr>
                <w:sz w:val="20"/>
                <w:szCs w:val="20"/>
                <w:color w:val="auto"/>
              </w:rPr>
            </w:pPr>
            <w:r>
              <w:rPr>
                <w:rFonts w:ascii="Arial" w:cs="Arial" w:eastAsia="Arial" w:hAnsi="Arial"/>
                <w:sz w:val="16"/>
                <w:szCs w:val="16"/>
                <w:color w:val="auto"/>
              </w:rPr>
              <w:t>Clients 11-25</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118,156</w:t>
            </w:r>
          </w:p>
        </w:tc>
        <w:tc>
          <w:tcPr>
            <w:tcW w:w="1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134,111</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344,463</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399,877</w:t>
            </w:r>
          </w:p>
        </w:tc>
      </w:tr>
      <w:tr>
        <w:trPr>
          <w:trHeight w:val="26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225,051</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227,741</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640,286</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649,945</w:t>
            </w:r>
          </w:p>
        </w:tc>
      </w:tr>
      <w:tr>
        <w:trPr>
          <w:trHeight w:val="257"/>
        </w:trPr>
        <w:tc>
          <w:tcPr>
            <w:tcW w:w="5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1"/>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701,729</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710,441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2,037,059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2,080,430</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1" w:name="page12"/>
    <w:bookmarkEnd w:id="11"/>
    <w:p>
      <w:pPr>
        <w:ind w:left="180" w:right="1540" w:hanging="172"/>
        <w:spacing w:after="0" w:line="496" w:lineRule="auto"/>
        <w:tabs>
          <w:tab w:leader="none" w:pos="189"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unbilled revenue (contract assets) and unearned revenue or payments on account (contract liabilities) </w:t>
      </w:r>
      <w:r>
        <w:rPr>
          <w:rFonts w:ascii="Arial" w:cs="Arial" w:eastAsia="Arial" w:hAnsi="Arial"/>
          <w:sz w:val="16"/>
          <w:szCs w:val="16"/>
          <w:color w:val="auto"/>
        </w:rPr>
        <w:t>Accounts receivables and unbilled revenue are as follows:</w:t>
      </w:r>
    </w:p>
    <w:tbl>
      <w:tblPr>
        <w:tblLayout w:type="fixed"/>
        <w:tblInd w:w="0" w:type="dxa"/>
        <w:tblCellMar>
          <w:top w:w="0" w:type="dxa"/>
          <w:left w:w="0" w:type="dxa"/>
          <w:bottom w:w="0" w:type="dxa"/>
          <w:right w:w="0" w:type="dxa"/>
        </w:tblCellMar>
      </w:tblPr>
      <w:tr>
        <w:trPr>
          <w:trHeight w:val="198"/>
        </w:trPr>
        <w:tc>
          <w:tcPr>
            <w:tcW w:w="59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92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33"/>
        </w:trPr>
        <w:tc>
          <w:tcPr>
            <w:tcW w:w="59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6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6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5920" w:type="dxa"/>
            <w:vAlign w:val="bottom"/>
          </w:tcPr>
          <w:p>
            <w:pPr>
              <w:ind w:left="120"/>
              <w:spacing w:after="0"/>
              <w:rPr>
                <w:sz w:val="20"/>
                <w:szCs w:val="20"/>
                <w:color w:val="auto"/>
              </w:rPr>
            </w:pPr>
            <w:r>
              <w:rPr>
                <w:rFonts w:ascii="Arial" w:cs="Arial" w:eastAsia="Arial" w:hAnsi="Arial"/>
                <w:sz w:val="16"/>
                <w:szCs w:val="16"/>
                <w:color w:val="auto"/>
              </w:rPr>
              <w:t>Billed services (accounts receivable)</w:t>
            </w:r>
          </w:p>
        </w:tc>
        <w:tc>
          <w:tcPr>
            <w:tcW w:w="26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519,709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535,088</w:t>
            </w:r>
          </w:p>
        </w:tc>
      </w:tr>
      <w:tr>
        <w:trPr>
          <w:trHeight w:val="260"/>
        </w:trPr>
        <w:tc>
          <w:tcPr>
            <w:tcW w:w="59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Unbilled services (unbilled revenue)</w:t>
            </w:r>
          </w:p>
        </w:tc>
        <w:tc>
          <w:tcPr>
            <w:tcW w:w="26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440,379</w:t>
            </w: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422,769</w:t>
            </w:r>
          </w:p>
        </w:tc>
      </w:tr>
      <w:tr>
        <w:trPr>
          <w:trHeight w:val="233"/>
        </w:trPr>
        <w:tc>
          <w:tcPr>
            <w:tcW w:w="5920" w:type="dxa"/>
            <w:vAlign w:val="bottom"/>
          </w:tcPr>
          <w:p>
            <w:pPr>
              <w:ind w:left="120"/>
              <w:spacing w:after="0"/>
              <w:rPr>
                <w:sz w:val="20"/>
                <w:szCs w:val="20"/>
                <w:color w:val="auto"/>
              </w:rPr>
            </w:pPr>
            <w:r>
              <w:rPr>
                <w:rFonts w:ascii="Arial" w:cs="Arial" w:eastAsia="Arial" w:hAnsi="Arial"/>
                <w:sz w:val="16"/>
                <w:szCs w:val="16"/>
                <w:color w:val="auto"/>
              </w:rPr>
              <w:t>Accounts receivable and unbilled revenue</w:t>
            </w:r>
          </w:p>
        </w:tc>
        <w:tc>
          <w:tcPr>
            <w:tcW w:w="262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960,088</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957,857</w:t>
            </w:r>
          </w:p>
        </w:tc>
      </w:tr>
      <w:tr>
        <w:trPr>
          <w:trHeight w:val="25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Allowance for credit losses</w:t>
            </w:r>
          </w:p>
        </w:tc>
        <w:tc>
          <w:tcPr>
            <w:tcW w:w="26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(9,073)</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9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Allowance for doubtful debts</w:t>
            </w:r>
          </w:p>
        </w:tc>
        <w:tc>
          <w:tcPr>
            <w:tcW w:w="2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(7,380)</w:t>
            </w:r>
          </w:p>
        </w:tc>
      </w:tr>
      <w:tr>
        <w:trPr>
          <w:trHeight w:val="257"/>
        </w:trPr>
        <w:tc>
          <w:tcPr>
            <w:tcW w:w="59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7"/>
        </w:trPr>
        <w:tc>
          <w:tcPr>
            <w:tcW w:w="59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Accounts receivable and unbilled revenue, net</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951,015</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950,477</w:t>
            </w:r>
          </w:p>
        </w:tc>
      </w:tr>
      <w:tr>
        <w:trPr>
          <w:trHeight w:val="27"/>
        </w:trPr>
        <w:tc>
          <w:tcPr>
            <w:tcW w:w="59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8"/>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 Change</w:t>
            </w:r>
          </w:p>
        </w:tc>
        <w:tc>
          <w:tcPr>
            <w:tcW w:w="13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4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Unbilled services (unbilled revenue)</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440,379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422,769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17,610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50"/>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Unearned revenue (payments on account)</w:t>
            </w:r>
          </w:p>
        </w:tc>
        <w:tc>
          <w:tcPr>
            <w:tcW w:w="1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(450,906)</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(366,988)</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(83,918)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22.9 %</w:t>
            </w:r>
          </w:p>
        </w:tc>
      </w:tr>
      <w:tr>
        <w:trPr>
          <w:trHeight w:val="257"/>
        </w:trPr>
        <w:tc>
          <w:tcPr>
            <w:tcW w:w="4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37"/>
        </w:trPr>
        <w:tc>
          <w:tcPr>
            <w:tcW w:w="42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Net balance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55,781</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(66,308)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w:t>
            </w:r>
          </w:p>
        </w:tc>
      </w:tr>
      <w:tr>
        <w:trPr>
          <w:trHeight w:val="27"/>
        </w:trPr>
        <w:tc>
          <w:tcPr>
            <w:tcW w:w="4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188"/>
        <w:spacing w:after="0" w:line="25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30"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229" w:lineRule="exact"/>
        <w:rPr>
          <w:sz w:val="20"/>
          <w:szCs w:val="20"/>
          <w:color w:val="auto"/>
        </w:rPr>
      </w:pPr>
    </w:p>
    <w:p>
      <w:pPr>
        <w:jc w:val="both"/>
        <w:ind w:firstLine="217"/>
        <w:spacing w:after="0" w:line="249" w:lineRule="auto"/>
        <w:rPr>
          <w:sz w:val="20"/>
          <w:szCs w:val="20"/>
          <w:color w:val="auto"/>
        </w:rPr>
      </w:pPr>
      <w:r>
        <w:rPr>
          <w:rFonts w:ascii="Arial" w:cs="Arial" w:eastAsia="Arial" w:hAnsi="Arial"/>
          <w:sz w:val="16"/>
          <w:szCs w:val="16"/>
          <w:color w:val="auto"/>
        </w:rPr>
        <w:t>Unbilled services as at September 30, 2020 increased by $17.6 million compared to December 31, 2019. Unearned revenue increased by $83.9 million over the same period resulting in a decrease of $66.3 million in the net balance of unbilled services and unearned revenue or payments on account between December 31, 2019 and September 30, 2020.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32" w:lineRule="exact"/>
        <w:rPr>
          <w:sz w:val="20"/>
          <w:szCs w:val="20"/>
          <w:color w:val="auto"/>
        </w:rPr>
      </w:pPr>
    </w:p>
    <w:p>
      <w:pPr>
        <w:jc w:val="both"/>
        <w:ind w:firstLine="197"/>
        <w:spacing w:after="0" w:line="260" w:lineRule="auto"/>
        <w:rPr>
          <w:sz w:val="20"/>
          <w:szCs w:val="20"/>
          <w:color w:val="auto"/>
        </w:rPr>
      </w:pPr>
      <w:r>
        <w:rPr>
          <w:rFonts w:ascii="Arial" w:cs="Arial" w:eastAsia="Arial" w:hAnsi="Arial"/>
          <w:sz w:val="16"/>
          <w:szCs w:val="16"/>
          <w:color w:val="auto"/>
        </w:rPr>
        <w:t>The credit loss expense and allowance for credit losses recognized on the Group's receivables and unbilled services was de minimis for the nine months ended September 30, 2020 and September 30, 2019.</w:t>
      </w:r>
    </w:p>
    <w:p>
      <w:pPr>
        <w:spacing w:after="0" w:line="222" w:lineRule="exact"/>
        <w:rPr>
          <w:sz w:val="20"/>
          <w:szCs w:val="20"/>
          <w:color w:val="auto"/>
        </w:rPr>
      </w:pPr>
    </w:p>
    <w:p>
      <w:pPr>
        <w:jc w:val="both"/>
        <w:ind w:firstLine="292"/>
        <w:spacing w:after="0" w:line="253" w:lineRule="auto"/>
        <w:rPr>
          <w:sz w:val="20"/>
          <w:szCs w:val="20"/>
          <w:color w:val="auto"/>
        </w:rPr>
      </w:pPr>
      <w:r>
        <w:rPr>
          <w:rFonts w:ascii="Arial" w:cs="Arial" w:eastAsia="Arial" w:hAnsi="Arial"/>
          <w:sz w:val="16"/>
          <w:szCs w:val="16"/>
          <w:color w:val="auto"/>
        </w:rPr>
        <w:t>As of September 30, 2020 approximately $6.1 billion of revenue is expected to be recognized in the future in respect of unsatisfied performance obligations. The Company expects to recognize revenue on approximately 43% of the unsatisfied performance obligation over the next 12 months,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5. Goodwill</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w:t>
            </w:r>
          </w:p>
        </w:tc>
        <w:tc>
          <w:tcPr>
            <w:tcW w:w="32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20"/>
        </w:trPr>
        <w:tc>
          <w:tcPr>
            <w:tcW w:w="8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320" w:type="dxa"/>
            <w:vAlign w:val="bottom"/>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16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vMerge w:val="continue"/>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8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40" w:type="dxa"/>
            <w:vAlign w:val="bottom"/>
            <w:gridSpan w:val="3"/>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883,170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756,260</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acquisitions (Note 6)</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27,191</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126,932</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Prior period acquisitions</w:t>
            </w:r>
          </w:p>
        </w:tc>
        <w:tc>
          <w:tcPr>
            <w:tcW w:w="22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123</w:t>
            </w:r>
          </w:p>
        </w:tc>
        <w:tc>
          <w:tcPr>
            <w:tcW w:w="3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3,929</w:t>
            </w:r>
          </w:p>
        </w:tc>
        <w:tc>
          <w:tcPr>
            <w:tcW w:w="3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3"/>
        </w:trPr>
        <w:tc>
          <w:tcPr>
            <w:tcW w:w="8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914,413</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883,170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6.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MedPass Group ("MedPass")</w:t>
      </w:r>
    </w:p>
    <w:p>
      <w:pPr>
        <w:spacing w:after="0" w:line="264" w:lineRule="exact"/>
        <w:rPr>
          <w:sz w:val="20"/>
          <w:szCs w:val="20"/>
          <w:color w:val="auto"/>
        </w:rPr>
      </w:pPr>
    </w:p>
    <w:p>
      <w:pPr>
        <w:jc w:val="both"/>
        <w:ind w:firstLine="180"/>
        <w:spacing w:after="0" w:line="252"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Arial" w:cs="Arial" w:eastAsia="Arial" w:hAnsi="Arial"/>
          <w:sz w:val="17"/>
          <w:szCs w:val="17"/>
          <w:color w:val="auto"/>
        </w:rPr>
        <w:t>.</w:t>
      </w:r>
    </w:p>
    <w:p>
      <w:pPr>
        <w:spacing w:after="0" w:line="235" w:lineRule="exact"/>
        <w:rPr>
          <w:sz w:val="20"/>
          <w:szCs w:val="20"/>
          <w:color w:val="auto"/>
        </w:rPr>
      </w:pPr>
    </w:p>
    <w:p>
      <w:pPr>
        <w:ind w:right="80" w:firstLine="180"/>
        <w:spacing w:after="0" w:line="272" w:lineRule="auto"/>
        <w:rPr>
          <w:sz w:val="20"/>
          <w:szCs w:val="20"/>
          <w:color w:val="auto"/>
        </w:rPr>
      </w:pPr>
      <w:r>
        <w:rPr>
          <w:rFonts w:ascii="Arial" w:cs="Arial" w:eastAsia="Arial" w:hAnsi="Arial"/>
          <w:sz w:val="16"/>
          <w:szCs w:val="16"/>
          <w:color w:val="auto"/>
        </w:rPr>
        <w:t>The acquisition of MedPass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 provisional assessment of the fair value of assets acquired and liabilities assumed as at that date. The following table summarizes the Company’s fair values of the assets acquired and liabilities assumed: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16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January 22,</w:t>
            </w:r>
          </w:p>
        </w:tc>
      </w:tr>
      <w:tr>
        <w:trPr>
          <w:trHeight w:val="236"/>
        </w:trPr>
        <w:tc>
          <w:tcPr>
            <w:tcW w:w="61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43"/>
        </w:trPr>
        <w:tc>
          <w:tcPr>
            <w:tcW w:w="616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10,170</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539</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27,191</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Customer relationships **</w:t>
            </w:r>
          </w:p>
        </w:tc>
        <w:tc>
          <w:tcPr>
            <w:tcW w:w="36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11,725</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 **</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2,883</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3,033</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(2,202)</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6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liability</w:t>
            </w:r>
          </w:p>
        </w:tc>
        <w:tc>
          <w:tcPr>
            <w:tcW w:w="36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w:t>
            </w:r>
          </w:p>
        </w:tc>
      </w:tr>
      <w:tr>
        <w:trPr>
          <w:trHeight w:val="148"/>
        </w:trPr>
        <w:tc>
          <w:tcPr>
            <w:tcW w:w="61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5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47,556</w:t>
            </w:r>
          </w:p>
        </w:tc>
      </w:tr>
      <w:tr>
        <w:trPr>
          <w:trHeight w:val="189"/>
        </w:trPr>
        <w:tc>
          <w:tcPr>
            <w:tcW w:w="6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46,992</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Working capital adjustment paid</w:t>
            </w:r>
          </w:p>
        </w:tc>
        <w:tc>
          <w:tcPr>
            <w:tcW w:w="36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26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 ***</w:t>
            </w:r>
          </w:p>
        </w:tc>
        <w:tc>
          <w:tcPr>
            <w:tcW w:w="36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61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47,556</w:t>
            </w:r>
          </w:p>
        </w:tc>
      </w:tr>
    </w:tbl>
    <w:p>
      <w:pPr>
        <w:spacing w:after="0" w:line="218" w:lineRule="exact"/>
        <w:rPr>
          <w:sz w:val="20"/>
          <w:szCs w:val="20"/>
          <w:color w:val="auto"/>
        </w:rPr>
      </w:pPr>
    </w:p>
    <w:p>
      <w:pPr>
        <w:ind w:firstLine="8"/>
        <w:spacing w:after="0" w:line="260" w:lineRule="auto"/>
        <w:tabs>
          <w:tab w:leader="none" w:pos="118" w:val="left"/>
        </w:tabs>
        <w:numPr>
          <w:ilvl w:val="0"/>
          <w:numId w:val="3"/>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that specializes in medical device development and market access. None of the goodwill recognized is expected to be deductible for income tax purposes.</w:t>
      </w:r>
    </w:p>
    <w:p>
      <w:pPr>
        <w:spacing w:after="0" w:line="33" w:lineRule="exact"/>
        <w:rPr>
          <w:sz w:val="20"/>
          <w:szCs w:val="20"/>
          <w:color w:val="auto"/>
        </w:rPr>
      </w:pPr>
    </w:p>
    <w:p>
      <w:pPr>
        <w:ind w:firstLine="8"/>
        <w:spacing w:after="0" w:line="260" w:lineRule="auto"/>
        <w:tabs>
          <w:tab w:leader="none" w:pos="17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made an estimate of separate intangible assets acquired, being customer relationships and order book assets. This assessment will be finalized within 12 months of the date of acquisition.</w:t>
      </w:r>
    </w:p>
    <w:p>
      <w:pPr>
        <w:spacing w:after="0" w:line="33" w:lineRule="exact"/>
        <w:rPr>
          <w:rFonts w:ascii="Arial" w:cs="Arial" w:eastAsia="Arial" w:hAnsi="Arial"/>
          <w:sz w:val="16"/>
          <w:szCs w:val="16"/>
          <w:color w:val="auto"/>
        </w:rPr>
      </w:pPr>
    </w:p>
    <w:p>
      <w:pPr>
        <w:jc w:val="both"/>
        <w:ind w:firstLine="8"/>
        <w:spacing w:after="0" w:line="253" w:lineRule="auto"/>
        <w:tabs>
          <w:tab w:leader="none" w:pos="2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Depending on performance of the company, the total consideration could increase by a maximum of $6.7 million in contingent consideration. At September 30, 2020, the fair value of this contingent consideration payable to MedPass is $Nil.</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i w:val="1"/>
          <w:iCs w:val="1"/>
          <w:color w:val="auto"/>
        </w:rPr>
        <w:t>Acquisitions – CRN Holdings LLC (trading as Symphony Clinical Research ("Symphony"))</w:t>
      </w:r>
    </w:p>
    <w:p>
      <w:pPr>
        <w:spacing w:after="0" w:line="264"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6"/>
          <w:szCs w:val="16"/>
          <w:color w:val="auto"/>
        </w:rPr>
        <w:t>On September 24, 2019 a subsidiary of the Company, ICON Clinical Research LLC, acquired a 100% interest in Symphony. Symphony is a leading provider of at-home trial services and site support services. The acquisition of Symphony further enhances our site &amp; patient services offering. Accounting for the acquisition of Symphony was finalized in the period ended September 30, 2020.</w:t>
      </w:r>
    </w:p>
    <w:p>
      <w:pPr>
        <w:spacing w:after="0" w:line="212"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6"/>
          <w:szCs w:val="16"/>
          <w:color w:val="auto"/>
        </w:rPr>
        <w:t>The acquisition of Symphony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 The Company has made an assessment of the fair value of assets acquired and liabilities assumed as at that date.The following table summarizes the Company’s fair values of the assets acquired and liabilities assumed:</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16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24,</w:t>
            </w:r>
          </w:p>
        </w:tc>
      </w:tr>
      <w:tr>
        <w:trPr>
          <w:trHeight w:val="237"/>
        </w:trPr>
        <w:tc>
          <w:tcPr>
            <w:tcW w:w="61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616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3,292</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820</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22,865</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Customer relationships **</w:t>
            </w:r>
          </w:p>
        </w:tc>
        <w:tc>
          <w:tcPr>
            <w:tcW w:w="36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8,159</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 **</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2,163</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4,544</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181</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(933)</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5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r>
      <w:tr>
        <w:trPr>
          <w:trHeight w:val="149"/>
        </w:trPr>
        <w:tc>
          <w:tcPr>
            <w:tcW w:w="616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5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37,817</w:t>
            </w:r>
          </w:p>
        </w:tc>
      </w:tr>
      <w:tr>
        <w:trPr>
          <w:trHeight w:val="243"/>
        </w:trPr>
        <w:tc>
          <w:tcPr>
            <w:tcW w:w="616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34,976</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 adjustment paid</w:t>
            </w:r>
          </w:p>
        </w:tc>
        <w:tc>
          <w:tcPr>
            <w:tcW w:w="36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r>
      <w:tr>
        <w:trPr>
          <w:trHeight w:val="25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Contingent consideration ***</w:t>
            </w:r>
          </w:p>
        </w:tc>
        <w:tc>
          <w:tcPr>
            <w:tcW w:w="36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2,500</w:t>
            </w:r>
          </w:p>
        </w:tc>
      </w:tr>
      <w:tr>
        <w:trPr>
          <w:trHeight w:val="203"/>
        </w:trPr>
        <w:tc>
          <w:tcPr>
            <w:tcW w:w="616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5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37,817</w:t>
            </w:r>
          </w:p>
        </w:tc>
      </w:tr>
    </w:tbl>
    <w:p>
      <w:pPr>
        <w:spacing w:after="0" w:line="218" w:lineRule="exact"/>
        <w:rPr>
          <w:sz w:val="20"/>
          <w:szCs w:val="20"/>
          <w:color w:val="auto"/>
        </w:rPr>
      </w:pPr>
    </w:p>
    <w:p>
      <w:pPr>
        <w:ind w:right="20" w:firstLine="8"/>
        <w:spacing w:after="0" w:line="260" w:lineRule="auto"/>
        <w:tabs>
          <w:tab w:leader="none" w:pos="128" w:val="left"/>
        </w:tabs>
        <w:numPr>
          <w:ilvl w:val="0"/>
          <w:numId w:val="6"/>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and the capability to provide at-home trial services and site support solutions. The full amount of the goodwill recognized is expected to be deductible for income tax purposes.</w:t>
      </w:r>
    </w:p>
    <w:p>
      <w:pPr>
        <w:spacing w:after="0" w:line="33" w:lineRule="exact"/>
        <w:rPr>
          <w:sz w:val="20"/>
          <w:szCs w:val="20"/>
          <w:color w:val="auto"/>
        </w:rPr>
      </w:pPr>
    </w:p>
    <w:p>
      <w:pPr>
        <w:jc w:val="both"/>
        <w:ind w:firstLine="8"/>
        <w:spacing w:after="0" w:line="253" w:lineRule="auto"/>
        <w:tabs>
          <w:tab w:leader="none" w:pos="18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finalizing the acquisition of Symphony in the twelve month period from acquisition, fair value adjustments were made which resulted in increases in accounts receivable ($0.6 million) and unearned revenue ($1.0 million) and decreases in unbilled revenue ($0.1 million), accounts payable ($0.3 million) and other liabilities ($0.1 million). Customer relationship and order backlog assets were also finalized.</w:t>
      </w:r>
    </w:p>
    <w:p>
      <w:pPr>
        <w:spacing w:after="0" w:line="39" w:lineRule="exact"/>
        <w:rPr>
          <w:rFonts w:ascii="Arial" w:cs="Arial" w:eastAsia="Arial" w:hAnsi="Arial"/>
          <w:sz w:val="16"/>
          <w:szCs w:val="16"/>
          <w:color w:val="auto"/>
        </w:rPr>
      </w:pPr>
    </w:p>
    <w:p>
      <w:pPr>
        <w:ind w:right="260" w:firstLine="8"/>
        <w:spacing w:after="0" w:line="253" w:lineRule="auto"/>
        <w:tabs>
          <w:tab w:leader="none" w:pos="23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In the three month period ended, June 30, 2020, the contingent consideration has been settled at fair value in the amount of $0.5 million. The change in fair value has been recorded in the selling, general and administrative expense line of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MeDiNova</w:t>
      </w:r>
    </w:p>
    <w:p>
      <w:pPr>
        <w:spacing w:after="0" w:line="264" w:lineRule="exact"/>
        <w:rPr>
          <w:sz w:val="20"/>
          <w:szCs w:val="20"/>
          <w:color w:val="auto"/>
        </w:rPr>
      </w:pPr>
    </w:p>
    <w:p>
      <w:pPr>
        <w:jc w:val="both"/>
        <w:ind w:firstLine="194"/>
        <w:spacing w:after="0" w:line="251" w:lineRule="auto"/>
        <w:rPr>
          <w:sz w:val="20"/>
          <w:szCs w:val="20"/>
          <w:color w:val="auto"/>
        </w:rPr>
      </w:pPr>
      <w:r>
        <w:rPr>
          <w:rFonts w:ascii="Arial" w:cs="Arial" w:eastAsia="Arial" w:hAnsi="Arial"/>
          <w:sz w:val="16"/>
          <w:szCs w:val="16"/>
          <w:color w:val="auto"/>
        </w:rPr>
        <w:t>On May 23, 2019 a subsidiary of the Company, ICON Clinical Research (U.K.) Limited acquired a majority shareholding in MeDiNova, a site network with research sites in key markets in Europe and Africa. On March 9, 2020 ICON exercised its option to call the outstanding shares in the noncontrolling interest to take 100% ownership of MeDiNova. The acquisition further enhances ICON's patient recruitment capabilities in EMEA and complements ICON's existing site network in the US, PMG Research. Accounting for the acquisition of MeDiNova was finalized in the period ended June 30, 2020.</w:t>
      </w:r>
    </w:p>
    <w:p>
      <w:pPr>
        <w:spacing w:after="0" w:line="213"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6"/>
          <w:szCs w:val="16"/>
          <w:color w:val="auto"/>
        </w:rPr>
        <w:t>The acquisition of MeDiNova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made an assessment of the fair value of assets acquired and liabilities assumed as at that date. The following table summarizes the Company’s fair values of the assets acquired and liabilities assumed: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8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May 23,</w:t>
            </w:r>
          </w:p>
        </w:tc>
      </w:tr>
      <w:tr>
        <w:trPr>
          <w:trHeight w:val="237"/>
        </w:trPr>
        <w:tc>
          <w:tcPr>
            <w:tcW w:w="61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618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7,719</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1,558</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81,760</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6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3,887</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Patient database</w:t>
            </w:r>
          </w:p>
        </w:tc>
        <w:tc>
          <w:tcPr>
            <w:tcW w:w="36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2,542</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3,488</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36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4,272</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Prepayments and other current assets</w:t>
            </w:r>
          </w:p>
        </w:tc>
        <w:tc>
          <w:tcPr>
            <w:tcW w:w="36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406</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6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(5,796)</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(6,860)</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36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(430)</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r>
      <w:tr>
        <w:trPr>
          <w:trHeight w:val="25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deferred tax liability</w:t>
            </w:r>
          </w:p>
        </w:tc>
        <w:tc>
          <w:tcPr>
            <w:tcW w:w="36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w:t>
            </w:r>
          </w:p>
        </w:tc>
      </w:tr>
      <w:tr>
        <w:trPr>
          <w:trHeight w:val="148"/>
        </w:trPr>
        <w:tc>
          <w:tcPr>
            <w:tcW w:w="618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5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86,249</w:t>
            </w:r>
          </w:p>
        </w:tc>
      </w:tr>
      <w:tr>
        <w:trPr>
          <w:trHeight w:val="189"/>
        </w:trPr>
        <w:tc>
          <w:tcPr>
            <w:tcW w:w="618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54,123</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 adjustment received</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25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Redeemable noncontrolling interest **</w:t>
            </w:r>
          </w:p>
        </w:tc>
        <w:tc>
          <w:tcPr>
            <w:tcW w:w="36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32,592</w:t>
            </w:r>
          </w:p>
        </w:tc>
      </w:tr>
      <w:tr>
        <w:trPr>
          <w:trHeight w:val="203"/>
        </w:trPr>
        <w:tc>
          <w:tcPr>
            <w:tcW w:w="618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5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consideration</w:t>
            </w:r>
          </w:p>
        </w:tc>
        <w:tc>
          <w:tcPr>
            <w:tcW w:w="3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86,249</w:t>
            </w:r>
          </w:p>
        </w:tc>
      </w:tr>
    </w:tbl>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*Goodwill represents the acquisition of an established workforce and access to a broad site network in Europe and Africa. None of the goodwill recognized is expected to be deductible for income tax purposes.</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fair value of the redeemable noncontrolling interest on May 23, 2019 was $32.6 million which was estimated by applying an income based approach. The valuation approach used was based on the future earnings of the Company times an appropriate earnings multiple. On March 9, 2020 ICON exercised its option to call the outstanding shares in the noncontrolling interest to take 100% ownership of MeDiNova. Effective from this date, the noncontrolling interest was derecognized and a liability was recognized, representing the assessment of the redemption value of the noncontrolling interest. This liability was settled on July 17, 2020 for $43.9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i w:val="1"/>
          <w:iCs w:val="1"/>
          <w:color w:val="auto"/>
        </w:rPr>
        <w:t>Acquisitions – MolecularMD Corp ("MMD")</w:t>
      </w:r>
    </w:p>
    <w:p>
      <w:pPr>
        <w:spacing w:after="0" w:line="264" w:lineRule="exact"/>
        <w:rPr>
          <w:sz w:val="20"/>
          <w:szCs w:val="20"/>
          <w:color w:val="auto"/>
        </w:rPr>
      </w:pPr>
    </w:p>
    <w:p>
      <w:pPr>
        <w:jc w:val="both"/>
        <w:ind w:firstLine="244"/>
        <w:spacing w:after="0" w:line="253" w:lineRule="auto"/>
        <w:rPr>
          <w:sz w:val="20"/>
          <w:szCs w:val="20"/>
          <w:color w:val="auto"/>
        </w:rPr>
      </w:pPr>
      <w:r>
        <w:rPr>
          <w:rFonts w:ascii="Arial" w:cs="Arial" w:eastAsia="Arial" w:hAnsi="Arial"/>
          <w:sz w:val="16"/>
          <w:szCs w:val="16"/>
          <w:color w:val="auto"/>
        </w:rPr>
        <w:t>On January 25, 2019 a subsidiary of the Company, ICON Laboratory Services, Inc. acquired 100% of the share capital of MMD. MMD is a molecular diagnostic specialty laboratory that enables the development and commercialization of precision medicines in oncology. Accounting for the acquisition of MMD was finalized at December 31, 2019.</w:t>
      </w:r>
    </w:p>
    <w:p>
      <w:pPr>
        <w:spacing w:after="0" w:line="212"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6"/>
          <w:szCs w:val="16"/>
          <w:color w:val="auto"/>
        </w:rPr>
        <w:t>The acquisition of MMD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an assessment of the fair value of assets acquired and liabilities assumed as at that date. The following table summarizes the Company’s fair values of the assets acquired and liabilities assumed: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January 25,</w:t>
            </w:r>
          </w:p>
        </w:tc>
      </w:tr>
      <w:tr>
        <w:trPr>
          <w:trHeight w:val="237"/>
        </w:trPr>
        <w:tc>
          <w:tcPr>
            <w:tcW w:w="6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62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Cash &amp; cash equivalent</w:t>
            </w:r>
          </w:p>
        </w:tc>
        <w:tc>
          <w:tcPr>
            <w:tcW w:w="3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686</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1,697</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7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2,866</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22,430</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7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10,708</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2,787</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7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3,100</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2,421</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37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908</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Deferred tax asset</w:t>
            </w:r>
          </w:p>
        </w:tc>
        <w:tc>
          <w:tcPr>
            <w:tcW w:w="37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1,568</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7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37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other liabilities</w:t>
            </w:r>
          </w:p>
        </w:tc>
        <w:tc>
          <w:tcPr>
            <w:tcW w:w="37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r>
      <w:tr>
        <w:trPr>
          <w:trHeight w:val="243"/>
        </w:trPr>
        <w:tc>
          <w:tcPr>
            <w:tcW w:w="62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42,173</w:t>
            </w:r>
          </w:p>
        </w:tc>
      </w:tr>
      <w:tr>
        <w:trPr>
          <w:trHeight w:val="243"/>
        </w:trPr>
        <w:tc>
          <w:tcPr>
            <w:tcW w:w="62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7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42,349</w:t>
            </w:r>
          </w:p>
        </w:tc>
      </w:tr>
      <w:tr>
        <w:trPr>
          <w:trHeight w:val="26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Working capital adjustment received</w:t>
            </w:r>
          </w:p>
        </w:tc>
        <w:tc>
          <w:tcPr>
            <w:tcW w:w="37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43"/>
        </w:trPr>
        <w:tc>
          <w:tcPr>
            <w:tcW w:w="6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42,173</w:t>
            </w:r>
          </w:p>
        </w:tc>
      </w:tr>
    </w:tbl>
    <w:p>
      <w:pPr>
        <w:spacing w:after="0" w:line="27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*Goodwill represents the acquisition of an established workforce with experience in molecular diagnostic specialty laboratory services and commercialization of precision medicines in oncology. None of the goodwill recognized is expected to be deductible for income tax purposes.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Equity method investments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has invested $4.9 million to obtain a 49% interest in the voting share capital of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investments' in the Condensed Consolidated Statement of Operations. See additional details in </w:t>
      </w:r>
      <w:r>
        <w:rPr>
          <w:rFonts w:ascii="Arial" w:cs="Arial" w:eastAsia="Arial" w:hAnsi="Arial"/>
          <w:sz w:val="16"/>
          <w:szCs w:val="16"/>
          <w:i w:val="1"/>
          <w:iCs w:val="1"/>
          <w:color w:val="auto"/>
        </w:rPr>
        <w:t>note 2 - Significant accounting policies.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majority investor has the right to sell the 51% majority voting share capital exclusively to the Company in an eighteen month period, commencing January 1, 2023 and ICON also has the right to acquire the 51% majority voting share capital from August 1, 2025.</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3"/>
        </w:trPr>
        <w:tc>
          <w:tcPr>
            <w:tcW w:w="3120" w:type="dxa"/>
            <w:vAlign w:val="bottom"/>
            <w:shd w:val="clear" w:color="auto" w:fill="CCEEFF"/>
          </w:tcPr>
          <w:p>
            <w:pPr>
              <w:spacing w:after="0"/>
              <w:rPr>
                <w:sz w:val="21"/>
                <w:szCs w:val="21"/>
                <w:color w:val="auto"/>
              </w:rPr>
            </w:pPr>
          </w:p>
        </w:tc>
        <w:tc>
          <w:tcPr>
            <w:tcW w:w="40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Ownership Percentage</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c>
          <w:tcPr>
            <w:tcW w:w="5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r>
      <w:tr>
        <w:trPr>
          <w:trHeight w:val="233"/>
        </w:trPr>
        <w:tc>
          <w:tcPr>
            <w:tcW w:w="31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At date of investment</w:t>
            </w:r>
          </w:p>
        </w:tc>
      </w:tr>
      <w:tr>
        <w:trPr>
          <w:trHeight w:val="246"/>
        </w:trPr>
        <w:tc>
          <w:tcPr>
            <w:tcW w:w="3120" w:type="dxa"/>
            <w:vAlign w:val="bottom"/>
            <w:tcBorders>
              <w:bottom w:val="single" w:sz="8" w:color="auto"/>
            </w:tcBorders>
            <w:shd w:val="clear" w:color="auto" w:fill="CCEEFF"/>
          </w:tcPr>
          <w:p>
            <w:pPr>
              <w:spacing w:after="0"/>
              <w:rPr>
                <w:sz w:val="21"/>
                <w:szCs w:val="21"/>
                <w:color w:val="auto"/>
              </w:rPr>
            </w:pPr>
          </w:p>
        </w:tc>
        <w:tc>
          <w:tcPr>
            <w:tcW w:w="40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September 30, 2020</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 2020</w:t>
            </w:r>
          </w:p>
        </w:tc>
        <w:tc>
          <w:tcPr>
            <w:tcW w:w="5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July 24, 2020</w:t>
            </w:r>
          </w:p>
        </w:tc>
      </w:tr>
      <w:tr>
        <w:trPr>
          <w:trHeight w:val="233"/>
        </w:trPr>
        <w:tc>
          <w:tcPr>
            <w:tcW w:w="31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tcPr>
          <w:p>
            <w:pPr>
              <w:spacing w:after="0"/>
              <w:rPr>
                <w:sz w:val="20"/>
                <w:szCs w:val="20"/>
                <w:color w:val="auto"/>
              </w:rPr>
            </w:pPr>
          </w:p>
        </w:tc>
      </w:tr>
      <w:tr>
        <w:trPr>
          <w:trHeight w:val="25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Oncacare Limited</w:t>
            </w:r>
          </w:p>
        </w:tc>
        <w:tc>
          <w:tcPr>
            <w:tcW w:w="40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49 %$</w:t>
            </w: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4,817</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4,900</w:t>
            </w:r>
          </w:p>
        </w:tc>
      </w:tr>
      <w:tr>
        <w:trPr>
          <w:trHeight w:val="270"/>
        </w:trPr>
        <w:tc>
          <w:tcPr>
            <w:tcW w:w="3120" w:type="dxa"/>
            <w:vAlign w:val="bottom"/>
            <w:tcBorders>
              <w:bottom w:val="single" w:sz="8" w:color="auto"/>
            </w:tcBorders>
          </w:tcPr>
          <w:p>
            <w:pPr>
              <w:spacing w:after="0"/>
              <w:rPr>
                <w:sz w:val="23"/>
                <w:szCs w:val="23"/>
                <w:color w:val="auto"/>
              </w:rPr>
            </w:pPr>
          </w:p>
        </w:tc>
        <w:tc>
          <w:tcPr>
            <w:tcW w:w="40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r>
    </w:tbl>
    <w:p>
      <w:pPr>
        <w:spacing w:after="0" w:line="3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invested $4.9 million in Oncacare, of which, $2.5 million has been paid with the remainder to be paid in the next twelve months.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recorded a loss of $0.1 million representing its pro rata share of the losses in Oncacare since the date of initial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Restructuring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264" w:lineRule="exact"/>
        <w:rPr>
          <w:sz w:val="20"/>
          <w:szCs w:val="20"/>
          <w:color w:val="auto"/>
        </w:rPr>
      </w:pPr>
    </w:p>
    <w:p>
      <w:pPr>
        <w:jc w:val="both"/>
        <w:ind w:firstLine="190"/>
        <w:spacing w:after="0" w:line="251" w:lineRule="auto"/>
        <w:rPr>
          <w:sz w:val="20"/>
          <w:szCs w:val="20"/>
          <w:color w:val="auto"/>
        </w:rPr>
      </w:pPr>
      <w:r>
        <w:rPr>
          <w:rFonts w:ascii="Arial" w:cs="Arial" w:eastAsia="Arial" w:hAnsi="Arial"/>
          <w:sz w:val="16"/>
          <w:szCs w:val="16"/>
          <w:color w:val="auto"/>
        </w:rPr>
        <w:t xml:space="preserve">A restructuring charge of $18.1 million was recognized during the nine months ended September 30, 2020 under a restructuring plan adopted following a review of operations. The restructuring plan reflected resource rationalization across the business to improve resource utilization, resulting in a charge of $11.4 million and office consolidation resulting in a charge for onerous lease obligation of $6.7 million, including the recognition of an impairment of right of use assets of $5.4 million (see </w:t>
      </w:r>
      <w:r>
        <w:rPr>
          <w:rFonts w:ascii="Arial" w:cs="Arial" w:eastAsia="Arial" w:hAnsi="Arial"/>
          <w:sz w:val="16"/>
          <w:szCs w:val="16"/>
          <w:i w:val="1"/>
          <w:iCs w:val="1"/>
          <w:color w:val="auto"/>
        </w:rPr>
        <w:t>note 9 - Operating Leases</w:t>
      </w:r>
      <w:r>
        <w:rPr>
          <w:rFonts w:ascii="Arial" w:cs="Arial" w:eastAsia="Arial" w:hAnsi="Arial"/>
          <w:sz w:val="16"/>
          <w:szCs w:val="16"/>
          <w:color w:val="auto"/>
        </w:rPr>
        <w:t>) and provision for other related costs of $1.3 million.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restructuring charge recognized in the three and nine months ended September 30, 2020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30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Nine Months Ended</w:t>
            </w:r>
          </w:p>
        </w:tc>
        <w:tc>
          <w:tcPr>
            <w:tcW w:w="560" w:type="dxa"/>
            <w:vAlign w:val="bottom"/>
            <w:tcBorders>
              <w:bottom w:val="single" w:sz="8" w:color="auto"/>
            </w:tcBorders>
            <w:shd w:val="clear" w:color="auto" w:fill="CCEEFF"/>
          </w:tcPr>
          <w:p>
            <w:pPr>
              <w:spacing w:after="0"/>
              <w:rPr>
                <w:sz w:val="20"/>
                <w:szCs w:val="20"/>
                <w:color w:val="auto"/>
              </w:rPr>
            </w:pPr>
          </w:p>
        </w:tc>
      </w:tr>
      <w:tr>
        <w:trPr>
          <w:trHeight w:val="196"/>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6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8"/>
        </w:trPr>
        <w:tc>
          <w:tcPr>
            <w:tcW w:w="4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2020</w:t>
            </w: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30, 2019</w:t>
            </w:r>
          </w:p>
        </w:tc>
      </w:tr>
      <w:tr>
        <w:trPr>
          <w:trHeight w:val="250"/>
        </w:trPr>
        <w:tc>
          <w:tcPr>
            <w:tcW w:w="4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Restructuring charge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18,089</w:t>
            </w:r>
          </w:p>
        </w:tc>
        <w:tc>
          <w:tcPr>
            <w:tcW w:w="1060" w:type="dxa"/>
            <w:vAlign w:val="bottom"/>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r>
      <w:tr>
        <w:trPr>
          <w:trHeight w:val="273"/>
        </w:trPr>
        <w:tc>
          <w:tcPr>
            <w:tcW w:w="466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r>
      <w:tr>
        <w:trPr>
          <w:trHeight w:val="237"/>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18,089</w:t>
            </w: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r>
      <w:tr>
        <w:trPr>
          <w:trHeight w:val="27"/>
        </w:trPr>
        <w:tc>
          <w:tcPr>
            <w:tcW w:w="4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movement in the restructuring charge recognized in the three and nine months ended September 30, 2020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Workforce</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8"/>
        </w:trPr>
        <w:tc>
          <w:tcPr>
            <w:tcW w:w="462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reductions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Onerous Lease</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3"/>
        </w:trPr>
        <w:tc>
          <w:tcPr>
            <w:tcW w:w="4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restructuring charge recorded</w:t>
            </w:r>
          </w:p>
        </w:tc>
        <w:tc>
          <w:tcPr>
            <w:tcW w:w="2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11,391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6,698</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18,089</w:t>
            </w:r>
          </w:p>
        </w:tc>
      </w:tr>
      <w:tr>
        <w:trPr>
          <w:trHeight w:val="233"/>
        </w:trPr>
        <w:tc>
          <w:tcPr>
            <w:tcW w:w="4620" w:type="dxa"/>
            <w:vAlign w:val="bottom"/>
          </w:tcPr>
          <w:p>
            <w:pPr>
              <w:ind w:left="20"/>
              <w:spacing w:after="0"/>
              <w:rPr>
                <w:sz w:val="20"/>
                <w:szCs w:val="20"/>
                <w:color w:val="auto"/>
              </w:rPr>
            </w:pPr>
            <w:r>
              <w:rPr>
                <w:rFonts w:ascii="Arial" w:cs="Arial" w:eastAsia="Arial" w:hAnsi="Arial"/>
                <w:sz w:val="16"/>
                <w:szCs w:val="16"/>
                <w:color w:val="auto"/>
              </w:rPr>
              <w:t>Utilization</w:t>
            </w:r>
          </w:p>
        </w:tc>
        <w:tc>
          <w:tcPr>
            <w:tcW w:w="23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(4,278)</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(642)</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(4,920)</w:t>
            </w:r>
          </w:p>
        </w:tc>
      </w:tr>
      <w:tr>
        <w:trPr>
          <w:trHeight w:val="246"/>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2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123</w:t>
            </w: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36"/>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at September 30, 2020</w:t>
            </w:r>
          </w:p>
        </w:tc>
        <w:tc>
          <w:tcPr>
            <w:tcW w:w="2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6,179</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13,292</w:t>
            </w:r>
          </w:p>
        </w:tc>
      </w:tr>
      <w:tr>
        <w:trPr>
          <w:trHeight w:val="27"/>
        </w:trPr>
        <w:tc>
          <w:tcPr>
            <w:tcW w:w="46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Prior Period Restructuring charges</w:t>
      </w:r>
    </w:p>
    <w:p>
      <w:pPr>
        <w:spacing w:after="0" w:line="264" w:lineRule="exact"/>
        <w:rPr>
          <w:sz w:val="20"/>
          <w:szCs w:val="20"/>
          <w:color w:val="auto"/>
        </w:rPr>
      </w:pPr>
    </w:p>
    <w:p>
      <w:pPr>
        <w:jc w:val="both"/>
        <w:ind w:firstLine="177"/>
        <w:spacing w:after="0" w:line="251" w:lineRule="auto"/>
        <w:rPr>
          <w:sz w:val="20"/>
          <w:szCs w:val="20"/>
          <w:color w:val="auto"/>
        </w:rPr>
      </w:pPr>
      <w:r>
        <w:rPr>
          <w:rFonts w:ascii="Arial" w:cs="Arial" w:eastAsia="Arial" w:hAnsi="Arial"/>
          <w:sz w:val="16"/>
          <w:szCs w:val="16"/>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 resulting in a charge of $9.7 million and office consolidation resulting in the recognition of an onerous lease obligation of $2.8 million. No additional charge was recorded during the nine months ended September 30, 2020.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8"/>
        </w:trPr>
        <w:tc>
          <w:tcPr>
            <w:tcW w:w="46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Workforce</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8"/>
        </w:trPr>
        <w:tc>
          <w:tcPr>
            <w:tcW w:w="462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reductions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Onerous Lease</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3"/>
        </w:trPr>
        <w:tc>
          <w:tcPr>
            <w:tcW w:w="4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restructuring charge recorded</w:t>
            </w:r>
          </w:p>
        </w:tc>
        <w:tc>
          <w:tcPr>
            <w:tcW w:w="2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9,684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2,806</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12,490</w:t>
            </w:r>
          </w:p>
        </w:tc>
      </w:tr>
      <w:tr>
        <w:trPr>
          <w:trHeight w:val="23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(5,399)</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2018</w:t>
            </w:r>
          </w:p>
        </w:tc>
        <w:tc>
          <w:tcPr>
            <w:tcW w:w="2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4,285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2,134</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w:t>
            </w:r>
          </w:p>
        </w:tc>
      </w:tr>
      <w:tr>
        <w:trPr>
          <w:trHeight w:val="25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(3,554)</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2019</w:t>
            </w:r>
          </w:p>
        </w:tc>
        <w:tc>
          <w:tcPr>
            <w:tcW w:w="2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731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906</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r>
      <w:tr>
        <w:trPr>
          <w:trHeight w:val="25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r>
      <w:tr>
        <w:trPr>
          <w:trHeight w:val="262"/>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at September 30, 2020</w:t>
            </w:r>
          </w:p>
        </w:tc>
        <w:tc>
          <w:tcPr>
            <w:tcW w:w="2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668</w:t>
            </w:r>
          </w:p>
        </w:tc>
        <w:tc>
          <w:tcPr>
            <w:tcW w:w="5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w:t>
            </w: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 September 30, 2020, $10.2 million is included within other liabilities and $4.1 million within non-current other liabilities.</w:t>
      </w:r>
    </w:p>
    <w:p>
      <w:pPr>
        <w:spacing w:after="0" w:line="25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leases</w:t>
      </w:r>
    </w:p>
    <w:p>
      <w:pPr>
        <w:spacing w:after="0" w:line="187" w:lineRule="exact"/>
        <w:rPr>
          <w:rFonts w:ascii="Arial" w:cs="Arial" w:eastAsia="Arial" w:hAnsi="Arial"/>
          <w:sz w:val="16"/>
          <w:szCs w:val="16"/>
          <w:b w:val="1"/>
          <w:bCs w:val="1"/>
          <w:color w:val="auto"/>
        </w:rPr>
      </w:pPr>
    </w:p>
    <w:p>
      <w:pPr>
        <w:ind w:left="180"/>
        <w:spacing w:after="0"/>
        <w:rPr>
          <w:rFonts w:ascii="Arial" w:cs="Arial" w:eastAsia="Arial" w:hAnsi="Arial"/>
          <w:sz w:val="16"/>
          <w:szCs w:val="16"/>
          <w:b w:val="1"/>
          <w:bCs w:val="1"/>
          <w:color w:val="auto"/>
        </w:rPr>
      </w:pPr>
      <w:r>
        <w:rPr>
          <w:rFonts w:ascii="Arial" w:cs="Arial" w:eastAsia="Arial" w:hAnsi="Arial"/>
          <w:sz w:val="16"/>
          <w:szCs w:val="16"/>
          <w:color w:val="auto"/>
        </w:rPr>
        <w:t>Lease costs recorded under operating leases for the three and nine months ended September 30, 2020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0" w:type="dxa"/>
            <w:vAlign w:val="bottom"/>
            <w:tcBorders>
              <w:bottom w:val="single" w:sz="8" w:color="auto"/>
            </w:tcBorders>
            <w:gridSpan w:val="3"/>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shd w:val="clear" w:color="auto" w:fill="CCEEFF"/>
          </w:tcPr>
          <w:p>
            <w:pPr>
              <w:spacing w:after="0"/>
              <w:rPr>
                <w:sz w:val="20"/>
                <w:szCs w:val="20"/>
                <w:color w:val="auto"/>
              </w:rPr>
            </w:pPr>
          </w:p>
        </w:tc>
        <w:tc>
          <w:tcPr>
            <w:tcW w:w="3200" w:type="dxa"/>
            <w:vAlign w:val="bottom"/>
            <w:tcBorders>
              <w:bottom w:val="single" w:sz="8" w:color="auto"/>
            </w:tcBorders>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234"/>
        </w:trPr>
        <w:tc>
          <w:tcPr>
            <w:tcW w:w="4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2019</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2019</w:t>
            </w:r>
          </w:p>
        </w:tc>
      </w:tr>
      <w:tr>
        <w:trPr>
          <w:trHeight w:val="243"/>
        </w:trPr>
        <w:tc>
          <w:tcPr>
            <w:tcW w:w="4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0" w:type="dxa"/>
            <w:vAlign w:val="bottom"/>
            <w:gridSpan w:val="3"/>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(in thousands)</w:t>
            </w:r>
          </w:p>
        </w:tc>
        <w:tc>
          <w:tcPr>
            <w:tcW w:w="120" w:type="dxa"/>
            <w:vAlign w:val="bottom"/>
            <w:shd w:val="clear" w:color="auto" w:fill="CCEEFF"/>
          </w:tcPr>
          <w:p>
            <w:pPr>
              <w:spacing w:after="0"/>
              <w:rPr>
                <w:sz w:val="21"/>
                <w:szCs w:val="21"/>
                <w:color w:val="auto"/>
              </w:rPr>
            </w:pPr>
          </w:p>
        </w:tc>
        <w:tc>
          <w:tcPr>
            <w:tcW w:w="3200" w:type="dxa"/>
            <w:vAlign w:val="bottom"/>
            <w:gridSpan w:val="3"/>
            <w:shd w:val="clear" w:color="auto" w:fill="CCEEFF"/>
          </w:tcPr>
          <w:p>
            <w:pPr>
              <w:ind w:left="980"/>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7,417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8,713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ind w:left="960"/>
              <w:spacing w:after="0"/>
              <w:rPr>
                <w:sz w:val="20"/>
                <w:szCs w:val="20"/>
                <w:color w:val="auto"/>
              </w:rPr>
            </w:pPr>
            <w:r>
              <w:rPr>
                <w:rFonts w:ascii="Arial" w:cs="Arial" w:eastAsia="Arial" w:hAnsi="Arial"/>
                <w:sz w:val="16"/>
                <w:szCs w:val="16"/>
                <w:color w:val="auto"/>
              </w:rPr>
              <w:t>23,274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26,332</w:t>
            </w:r>
          </w:p>
        </w:tc>
      </w:tr>
      <w:tr>
        <w:trPr>
          <w:trHeight w:val="24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37"/>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22,493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24,887</w:t>
            </w: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6"/>
          <w:szCs w:val="16"/>
          <w:color w:val="auto"/>
        </w:rPr>
        <w:t>Of the total cost of $22.5 million incurred in the nine months ended September 30, 2020 (September 30, 2019: $24.9 million), $20.6 million (September 30, 2019: $23.0 million) is recorded within selling, general and administration costs and $1.9 million (September 30, 2019: $1.9 million) is recorded within direct costs.</w:t>
      </w:r>
    </w:p>
    <w:p>
      <w:pPr>
        <w:spacing w:after="0" w:line="228" w:lineRule="exact"/>
        <w:rPr>
          <w:sz w:val="20"/>
          <w:szCs w:val="20"/>
          <w:color w:val="auto"/>
        </w:rPr>
      </w:pPr>
    </w:p>
    <w:p>
      <w:pPr>
        <w:jc w:val="both"/>
        <w:ind w:firstLine="212"/>
        <w:spacing w:after="0" w:line="260" w:lineRule="auto"/>
        <w:rPr>
          <w:sz w:val="20"/>
          <w:szCs w:val="20"/>
          <w:color w:val="auto"/>
        </w:rPr>
      </w:pPr>
      <w:r>
        <w:rPr>
          <w:rFonts w:ascii="Arial" w:cs="Arial" w:eastAsia="Arial" w:hAnsi="Arial"/>
          <w:sz w:val="16"/>
          <w:szCs w:val="16"/>
          <w:color w:val="auto"/>
        </w:rPr>
        <w:t>During the three and nine months ended September 30, 2020 and September 30, 2019, costs incurred by the Group related to variable lease payments was de minimis.</w:t>
      </w:r>
    </w:p>
    <w:p>
      <w:pPr>
        <w:spacing w:after="0" w:line="222" w:lineRule="exact"/>
        <w:rPr>
          <w:sz w:val="20"/>
          <w:szCs w:val="20"/>
          <w:color w:val="auto"/>
        </w:rPr>
      </w:pPr>
    </w:p>
    <w:p>
      <w:pPr>
        <w:jc w:val="both"/>
        <w:ind w:firstLine="201"/>
        <w:spacing w:after="0" w:line="250" w:lineRule="auto"/>
        <w:rPr>
          <w:sz w:val="20"/>
          <w:szCs w:val="20"/>
          <w:color w:val="auto"/>
        </w:rPr>
      </w:pPr>
      <w:r>
        <w:rPr>
          <w:rFonts w:ascii="Arial" w:cs="Arial" w:eastAsia="Arial" w:hAnsi="Arial"/>
          <w:sz w:val="16"/>
          <w:szCs w:val="16"/>
          <w:color w:val="auto"/>
        </w:rPr>
        <w:t xml:space="preserve">Right-of-use assets obtained during the three and nine months ended September 30, 2020 net of early termination options, now reasonably certain to be exercised, totaled $5.3 million and $8.2 million, respectively (September 30, 2019: $7.5 million and $25.4 million respectively). In the nine months ended September 30, 2020, office consolidations resulted in the recognition of an onerous lease obligation. The right-of-use assets related to these offices have been impaired to the extent they are considered onerous and a loss $5.4 million was recorded (see </w:t>
      </w:r>
      <w:r>
        <w:rPr>
          <w:rFonts w:ascii="Arial" w:cs="Arial" w:eastAsia="Arial" w:hAnsi="Arial"/>
          <w:sz w:val="16"/>
          <w:szCs w:val="16"/>
          <w:i w:val="1"/>
          <w:iCs w:val="1"/>
          <w:color w:val="auto"/>
        </w:rPr>
        <w:t>note 8 - Restructuring</w:t>
      </w:r>
      <w:r>
        <w:rPr>
          <w:rFonts w:ascii="Arial" w:cs="Arial" w:eastAsia="Arial" w:hAnsi="Arial"/>
          <w:sz w:val="16"/>
          <w:szCs w:val="16"/>
          <w:color w:val="auto"/>
        </w:rPr>
        <w:t>). No impairment losses were recognized in the three and nine months ended September 30, 2020.</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September 30, 2020 were 4.57 years and 2.58%, respectively.</w:t>
      </w:r>
    </w:p>
    <w:p>
      <w:pPr>
        <w:sectPr>
          <w:pgSz w:w="11900" w:h="16838" w:orient="portrait"/>
          <w:cols w:equalWidth="0" w:num="1">
            <w:col w:w="11240"/>
          </w:cols>
          <w:pgMar w:left="32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type w:val="continuous"/>
        </w:sectPr>
      </w:pPr>
    </w:p>
    <w:bookmarkStart w:id="19" w:name="page20"/>
    <w:bookmarkEnd w:id="19"/>
    <w:p>
      <w:pPr>
        <w:ind w:left="180"/>
        <w:spacing w:after="0"/>
        <w:rPr>
          <w:sz w:val="20"/>
          <w:szCs w:val="20"/>
          <w:color w:val="auto"/>
        </w:rPr>
      </w:pPr>
      <w:r>
        <w:rPr>
          <w:rFonts w:ascii="Arial" w:cs="Arial" w:eastAsia="Arial" w:hAnsi="Arial"/>
          <w:sz w:val="16"/>
          <w:szCs w:val="16"/>
          <w:color w:val="auto"/>
        </w:rPr>
        <w:t>Future minimum lease payments under non-cancelable leases as of September 30, 2020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34"/>
        </w:trPr>
        <w:tc>
          <w:tcPr>
            <w:tcW w:w="604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33"/>
        </w:trPr>
        <w:tc>
          <w:tcPr>
            <w:tcW w:w="60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46"/>
        </w:trPr>
        <w:tc>
          <w:tcPr>
            <w:tcW w:w="6040" w:type="dxa"/>
            <w:vAlign w:val="bottom"/>
            <w:tcBorders>
              <w:bottom w:val="single" w:sz="8" w:color="auto"/>
            </w:tcBorders>
            <w:shd w:val="clear" w:color="auto" w:fill="CCEEFF"/>
          </w:tcPr>
          <w:p>
            <w:pPr>
              <w:spacing w:after="0"/>
              <w:rPr>
                <w:sz w:val="21"/>
                <w:szCs w:val="21"/>
                <w:color w:val="auto"/>
              </w:rPr>
            </w:pPr>
          </w:p>
        </w:tc>
        <w:tc>
          <w:tcPr>
            <w:tcW w:w="35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 2020</w:t>
            </w:r>
          </w:p>
        </w:tc>
      </w:tr>
      <w:tr>
        <w:trPr>
          <w:trHeight w:val="233"/>
        </w:trPr>
        <w:tc>
          <w:tcPr>
            <w:tcW w:w="6040" w:type="dxa"/>
            <w:vAlign w:val="bottom"/>
          </w:tcPr>
          <w:p>
            <w:pPr>
              <w:ind w:left="20"/>
              <w:spacing w:after="0"/>
              <w:rPr>
                <w:sz w:val="20"/>
                <w:szCs w:val="20"/>
                <w:color w:val="auto"/>
              </w:rPr>
            </w:pPr>
            <w:r>
              <w:rPr>
                <w:rFonts w:ascii="Arial" w:cs="Arial" w:eastAsia="Arial" w:hAnsi="Arial"/>
                <w:sz w:val="16"/>
                <w:szCs w:val="16"/>
                <w:color w:val="auto"/>
              </w:rPr>
              <w:t>Due within 1 year</w:t>
            </w:r>
          </w:p>
        </w:tc>
        <w:tc>
          <w:tcPr>
            <w:tcW w:w="3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26,237</w:t>
            </w:r>
          </w:p>
        </w:tc>
      </w:tr>
      <w:tr>
        <w:trPr>
          <w:trHeight w:val="25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between 1 and 5 years</w:t>
            </w:r>
          </w:p>
        </w:tc>
        <w:tc>
          <w:tcPr>
            <w:tcW w:w="35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54,736</w:t>
            </w:r>
          </w:p>
        </w:tc>
      </w:tr>
      <w:tr>
        <w:trPr>
          <w:trHeight w:val="25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5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11,491</w:t>
            </w: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w:t>
            </w:r>
          </w:p>
        </w:tc>
        <w:tc>
          <w:tcPr>
            <w:tcW w:w="35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92,464</w:t>
            </w:r>
          </w:p>
        </w:tc>
      </w:tr>
      <w:tr>
        <w:trPr>
          <w:trHeight w:val="25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35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(5,665)</w:t>
            </w:r>
          </w:p>
        </w:tc>
      </w:tr>
      <w:tr>
        <w:trPr>
          <w:trHeight w:val="261"/>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86,799</w:t>
            </w:r>
          </w:p>
        </w:tc>
      </w:tr>
      <w:tr>
        <w:trPr>
          <w:trHeight w:val="20"/>
        </w:trPr>
        <w:tc>
          <w:tcPr>
            <w:tcW w:w="6040" w:type="dxa"/>
            <w:vAlign w:val="bottom"/>
            <w:tcBorders>
              <w:top w:val="single" w:sz="8" w:color="CCEEFF"/>
              <w:bottom w:val="single" w:sz="8" w:color="auto"/>
            </w:tcBorders>
          </w:tcPr>
          <w:p>
            <w:pPr>
              <w:spacing w:after="0" w:line="20" w:lineRule="exact"/>
              <w:rPr>
                <w:sz w:val="1"/>
                <w:szCs w:val="1"/>
                <w:color w:val="auto"/>
              </w:rPr>
            </w:pPr>
          </w:p>
        </w:tc>
        <w:tc>
          <w:tcPr>
            <w:tcW w:w="3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201"/>
        <w:spacing w:after="0" w:line="260"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$24.3 million have been included in other liabilities as at September 30, 2020 (September 30, 2019: $28.1 million).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recognized during the three and nine months ended September 30, 2020 and September 30, 2019, comprise: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70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20"/>
                <w:szCs w:val="20"/>
                <w:color w:val="auto"/>
              </w:rPr>
            </w:pPr>
          </w:p>
        </w:tc>
        <w:tc>
          <w:tcPr>
            <w:tcW w:w="264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196"/>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r>
      <w:tr>
        <w:trPr>
          <w:trHeight w:val="228"/>
        </w:trPr>
        <w:tc>
          <w:tcPr>
            <w:tcW w:w="5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70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21"/>
                <w:szCs w:val="21"/>
                <w:color w:val="auto"/>
              </w:rPr>
            </w:pPr>
          </w:p>
        </w:tc>
        <w:tc>
          <w:tcPr>
            <w:tcW w:w="2640" w:type="dxa"/>
            <w:vAlign w:val="bottom"/>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5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13,706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13,020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34,967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37,516</w:t>
            </w:r>
          </w:p>
        </w:tc>
      </w:tr>
      <w:tr>
        <w:trPr>
          <w:trHeight w:val="260"/>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Tax impact of restructuring and other items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(2,261)</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13,706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13,020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32,706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37,516</w:t>
            </w:r>
          </w:p>
        </w:tc>
      </w:tr>
      <w:tr>
        <w:trPr>
          <w:trHeight w:val="27"/>
        </w:trPr>
        <w:tc>
          <w:tcPr>
            <w:tcW w:w="5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250"/>
        <w:spacing w:after="0" w:line="251" w:lineRule="auto"/>
        <w:rPr>
          <w:sz w:val="20"/>
          <w:szCs w:val="20"/>
          <w:color w:val="auto"/>
        </w:rPr>
      </w:pPr>
      <w:r>
        <w:rPr>
          <w:rFonts w:ascii="Arial" w:cs="Arial" w:eastAsia="Arial" w:hAnsi="Arial"/>
          <w:sz w:val="16"/>
          <w:szCs w:val="16"/>
          <w:color w:val="auto"/>
        </w:rPr>
        <w:t>As at September 30, 2020 the Company maintains a $20.0 million liability (December 31, 2019: $21.3 million) for unrecognized tax benefit, which is comprised of $19.6 million (December 31, 2019: $20.2 million) related to items generating unrecognized tax benefits and $0.4 million (December 31, 2019: $1.1 million) for interest and related penalties to such items. The Company recognizes interest accrued on unrecognized tax benefits as an additional income tax expense.</w:t>
      </w:r>
    </w:p>
    <w:p>
      <w:pPr>
        <w:spacing w:after="0" w:line="229" w:lineRule="exact"/>
        <w:rPr>
          <w:sz w:val="20"/>
          <w:szCs w:val="20"/>
          <w:color w:val="auto"/>
        </w:rPr>
      </w:pPr>
    </w:p>
    <w:p>
      <w:pPr>
        <w:jc w:val="both"/>
        <w:ind w:firstLine="192"/>
        <w:spacing w:after="0" w:line="253"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2015 through 2019 tax years. The Company does not believe that the outcome of any examination will have a material impact on its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11. Net income per ordinary share</w:t>
      </w:r>
    </w:p>
    <w:p>
      <w:pPr>
        <w:spacing w:after="0" w:line="2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and diluted net income per ordinary share attributable to the Group includes the adjustment to reflect the accretion of the noncontrolling interest in MeDiNova to its redemption value.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60" w:type="dxa"/>
            <w:vAlign w:val="bottom"/>
            <w:shd w:val="clear" w:color="auto" w:fill="CCEEFF"/>
          </w:tcPr>
          <w:p>
            <w:pPr>
              <w:spacing w:after="0"/>
              <w:rPr>
                <w:sz w:val="20"/>
                <w:szCs w:val="20"/>
                <w:color w:val="auto"/>
              </w:rPr>
            </w:pPr>
          </w:p>
        </w:tc>
        <w:tc>
          <w:tcPr>
            <w:tcW w:w="2940" w:type="dxa"/>
            <w:vAlign w:val="bottom"/>
            <w:tcBorders>
              <w:bottom w:val="single" w:sz="8" w:color="auto"/>
            </w:tcBorders>
            <w:gridSpan w:val="2"/>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2740" w:type="dxa"/>
            <w:vAlign w:val="bottom"/>
            <w:tcBorders>
              <w:bottom w:val="single" w:sz="8" w:color="auto"/>
            </w:tcBorders>
            <w:gridSpan w:val="2"/>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196"/>
        </w:trPr>
        <w:tc>
          <w:tcPr>
            <w:tcW w:w="556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r>
      <w:tr>
        <w:trPr>
          <w:trHeight w:val="228"/>
        </w:trPr>
        <w:tc>
          <w:tcPr>
            <w:tcW w:w="55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8"/>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basic net</w:t>
            </w: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4"/>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52,737,299</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54,004,963</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52,885,252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53,935,939</w:t>
            </w:r>
          </w:p>
        </w:tc>
      </w:tr>
      <w:tr>
        <w:trPr>
          <w:trHeight w:val="25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dilutive share options outstanding</w:t>
            </w: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457,028</w:t>
            </w: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545,709</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398,428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450,127</w:t>
            </w:r>
          </w:p>
        </w:tc>
      </w:tr>
      <w:tr>
        <w:trPr>
          <w:trHeight w:val="218"/>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diluted net</w:t>
            </w: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3"/>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53,194,327</w:t>
            </w: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54,550,672</w:t>
            </w: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53,283,680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54,386,066</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220" w:firstLine="648"/>
        <w:spacing w:after="0" w:line="260" w:lineRule="auto"/>
        <w:rPr>
          <w:sz w:val="20"/>
          <w:szCs w:val="20"/>
          <w:color w:val="auto"/>
        </w:rPr>
      </w:pPr>
      <w:r>
        <w:rPr>
          <w:rFonts w:ascii="Arial" w:cs="Arial" w:eastAsia="Arial" w:hAnsi="Arial"/>
          <w:sz w:val="16"/>
          <w:szCs w:val="16"/>
          <w:color w:val="auto"/>
        </w:rPr>
        <w:t>The reconciliation of net income attributable to the Group and net income attributable to the Group (including NCI redemption amount) as used to calculate net income per ordinary share attributable to the Group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700" w:type="dxa"/>
            <w:vAlign w:val="bottom"/>
            <w:tcBorders>
              <w:bottom w:val="single" w:sz="8" w:color="auto"/>
            </w:tcBorders>
            <w:gridSpan w:val="3"/>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20"/>
                <w:szCs w:val="20"/>
                <w:color w:val="auto"/>
              </w:rPr>
            </w:pPr>
          </w:p>
        </w:tc>
        <w:tc>
          <w:tcPr>
            <w:tcW w:w="2700" w:type="dxa"/>
            <w:vAlign w:val="bottom"/>
            <w:tcBorders>
              <w:bottom w:val="single" w:sz="8" w:color="auto"/>
            </w:tcBorders>
            <w:gridSpan w:val="3"/>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Nine Months Ended</w:t>
            </w:r>
          </w:p>
        </w:tc>
      </w:t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r>
      <w:tr>
        <w:trPr>
          <w:trHeight w:val="228"/>
        </w:trPr>
        <w:tc>
          <w:tcPr>
            <w:tcW w:w="5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5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700" w:type="dxa"/>
            <w:vAlign w:val="bottom"/>
            <w:gridSpan w:val="3"/>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21"/>
                <w:szCs w:val="21"/>
                <w:color w:val="auto"/>
              </w:rPr>
            </w:pPr>
          </w:p>
        </w:tc>
        <w:tc>
          <w:tcPr>
            <w:tcW w:w="2700" w:type="dxa"/>
            <w:vAlign w:val="bottom"/>
            <w:gridSpan w:val="3"/>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9"/>
              </w:rPr>
              <w:t>(in thousands)</w:t>
            </w:r>
          </w:p>
        </w:tc>
      </w:tr>
      <w:tr>
        <w:trPr>
          <w:trHeight w:val="233"/>
        </w:trPr>
        <w:tc>
          <w:tcPr>
            <w:tcW w:w="5460" w:type="dxa"/>
            <w:vAlign w:val="bottom"/>
          </w:tcPr>
          <w:p>
            <w:pPr>
              <w:ind w:left="20"/>
              <w:spacing w:after="0"/>
              <w:rPr>
                <w:sz w:val="20"/>
                <w:szCs w:val="20"/>
                <w:color w:val="auto"/>
              </w:rPr>
            </w:pPr>
            <w:r>
              <w:rPr>
                <w:rFonts w:ascii="Arial" w:cs="Arial" w:eastAsia="Arial" w:hAnsi="Arial"/>
                <w:sz w:val="16"/>
                <w:szCs w:val="16"/>
                <w:color w:val="auto"/>
              </w:rPr>
              <w:t>Net income attributable to the Group</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91,641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94,825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231,097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274,979</w:t>
            </w:r>
          </w:p>
        </w:tc>
      </w:tr>
      <w:tr>
        <w:trPr>
          <w:trHeight w:val="26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 adjustment to redemption amount</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(1,243)</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(4,522)</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r>
      <w:tr>
        <w:trPr>
          <w:trHeight w:val="218"/>
        </w:trPr>
        <w:tc>
          <w:tcPr>
            <w:tcW w:w="5460" w:type="dxa"/>
            <w:vAlign w:val="bottom"/>
          </w:tcPr>
          <w:p>
            <w:pPr>
              <w:ind w:left="20"/>
              <w:spacing w:after="0"/>
              <w:rPr>
                <w:sz w:val="20"/>
                <w:szCs w:val="20"/>
                <w:color w:val="auto"/>
              </w:rPr>
            </w:pPr>
            <w:r>
              <w:rPr>
                <w:rFonts w:ascii="Arial" w:cs="Arial" w:eastAsia="Arial" w:hAnsi="Arial"/>
                <w:sz w:val="16"/>
                <w:szCs w:val="16"/>
                <w:color w:val="auto"/>
              </w:rPr>
              <w:t>Net income attributable to the Group (including NCI redemption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8"/>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91,641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93,582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226,575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273,736</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3"/>
        </w:trPr>
        <w:tc>
          <w:tcPr>
            <w:tcW w:w="5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6"/>
        </w:trPr>
        <w:tc>
          <w:tcPr>
            <w:tcW w:w="54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5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r>
      <w:tr>
        <w:trPr>
          <w:trHeight w:val="228"/>
        </w:trPr>
        <w:tc>
          <w:tcPr>
            <w:tcW w:w="5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198"/>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Net income per Ordinary Share attributable to the Group (including</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4"/>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NCI redemption adjustment):</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r>
      <w:tr>
        <w:trPr>
          <w:trHeight w:val="237"/>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r>
      <w:tr>
        <w:trPr>
          <w:trHeight w:val="27"/>
        </w:trPr>
        <w:tc>
          <w:tcPr>
            <w:tcW w:w="5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12. Share-based awards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4" w:lineRule="exact"/>
        <w:rPr>
          <w:sz w:val="20"/>
          <w:szCs w:val="20"/>
          <w:color w:val="auto"/>
        </w:rPr>
      </w:pPr>
    </w:p>
    <w:p>
      <w:pPr>
        <w:jc w:val="both"/>
        <w:ind w:firstLine="228"/>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3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228" w:lineRule="exact"/>
        <w:rPr>
          <w:sz w:val="20"/>
          <w:szCs w:val="20"/>
          <w:color w:val="auto"/>
        </w:rPr>
      </w:pPr>
    </w:p>
    <w:p>
      <w:pPr>
        <w:jc w:val="both"/>
        <w:ind w:firstLine="264"/>
        <w:spacing w:after="0" w:line="250"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200" w:lineRule="exact"/>
        <w:rPr>
          <w:sz w:val="20"/>
          <w:szCs w:val="20"/>
          <w:color w:val="auto"/>
        </w:rPr>
      </w:pPr>
    </w:p>
    <w:p>
      <w:pPr>
        <w:spacing w:after="0" w:line="22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6"/>
          <w:szCs w:val="16"/>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29" w:lineRule="exact"/>
        <w:rPr>
          <w:sz w:val="20"/>
          <w:szCs w:val="20"/>
          <w:color w:val="auto"/>
        </w:rPr>
      </w:pPr>
    </w:p>
    <w:p>
      <w:pPr>
        <w:jc w:val="both"/>
        <w:ind w:firstLine="265"/>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235" w:lineRule="exact"/>
        <w:rPr>
          <w:sz w:val="20"/>
          <w:szCs w:val="20"/>
          <w:color w:val="auto"/>
        </w:rPr>
      </w:pPr>
    </w:p>
    <w:p>
      <w:pPr>
        <w:jc w:val="both"/>
        <w:ind w:firstLine="207"/>
        <w:spacing w:after="0" w:line="251"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September 30, 2020 is eight years.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option activity for the nine months ended September 30,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80" w:type="dxa"/>
            <w:vAlign w:val="bottom"/>
            <w:shd w:val="clear" w:color="auto" w:fill="CCEEFF"/>
          </w:tcPr>
          <w:p>
            <w:pPr>
              <w:spacing w:after="0"/>
              <w:rPr>
                <w:sz w:val="16"/>
                <w:szCs w:val="16"/>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Weighted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80" w:type="dxa"/>
            <w:vAlign w:val="bottom"/>
            <w:shd w:val="clear" w:color="auto" w:fill="CCEEFF"/>
          </w:tcPr>
          <w:p>
            <w:pPr>
              <w:spacing w:after="0"/>
              <w:rPr>
                <w:sz w:val="16"/>
                <w:szCs w:val="16"/>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Outstanding</w:t>
            </w: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Average Grant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080" w:type="dxa"/>
            <w:vAlign w:val="bottom"/>
            <w:shd w:val="clear" w:color="auto" w:fill="CCEEFF"/>
          </w:tcPr>
          <w:p>
            <w:pPr>
              <w:spacing w:after="0"/>
              <w:rPr>
                <w:sz w:val="16"/>
                <w:szCs w:val="16"/>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Number of</w:t>
            </w: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Exercise</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Date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08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Price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r>
      <w:tr>
        <w:trPr>
          <w:trHeight w:val="25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2019</w:t>
            </w:r>
          </w:p>
        </w:tc>
        <w:tc>
          <w:tcPr>
            <w:tcW w:w="2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656,107</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87.80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26.60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107,737</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159.83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42.43</w:t>
            </w:r>
          </w:p>
        </w:tc>
        <w:tc>
          <w:tcPr>
            <w:tcW w:w="1240" w:type="dxa"/>
            <w:vAlign w:val="bottom"/>
            <w:shd w:val="clear" w:color="auto" w:fill="CCEEFF"/>
          </w:tcPr>
          <w:p>
            <w:pPr>
              <w:spacing w:after="0"/>
              <w:rPr>
                <w:sz w:val="21"/>
                <w:szCs w:val="21"/>
                <w:color w:val="auto"/>
              </w:rPr>
            </w:pP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520" w:type="dxa"/>
            <w:vAlign w:val="bottom"/>
          </w:tcPr>
          <w:p>
            <w:pPr>
              <w:jc w:val="right"/>
              <w:spacing w:after="0"/>
              <w:rPr>
                <w:sz w:val="20"/>
                <w:szCs w:val="20"/>
                <w:color w:val="auto"/>
              </w:rPr>
            </w:pPr>
            <w:r>
              <w:rPr>
                <w:rFonts w:ascii="Arial" w:cs="Arial" w:eastAsia="Arial" w:hAnsi="Arial"/>
                <w:sz w:val="16"/>
                <w:szCs w:val="16"/>
                <w:color w:val="auto"/>
              </w:rPr>
              <w:t>(181,144)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68.10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99"/>
              <w:spacing w:after="0"/>
              <w:rPr>
                <w:sz w:val="20"/>
                <w:szCs w:val="20"/>
                <w:color w:val="auto"/>
              </w:rPr>
            </w:pPr>
            <w:r>
              <w:rPr>
                <w:rFonts w:ascii="Arial" w:cs="Arial" w:eastAsia="Arial" w:hAnsi="Arial"/>
                <w:sz w:val="16"/>
                <w:szCs w:val="16"/>
                <w:color w:val="auto"/>
              </w:rPr>
              <w:t>20.95</w:t>
            </w:r>
          </w:p>
        </w:tc>
        <w:tc>
          <w:tcPr>
            <w:tcW w:w="1240" w:type="dxa"/>
            <w:vAlign w:val="bottom"/>
          </w:tcPr>
          <w:p>
            <w:pPr>
              <w:spacing w:after="0"/>
              <w:rPr>
                <w:sz w:val="20"/>
                <w:szCs w:val="20"/>
                <w:color w:val="auto"/>
              </w:rPr>
            </w:pPr>
          </w:p>
        </w:tc>
      </w:tr>
      <w:tr>
        <w:trPr>
          <w:trHeight w:val="26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Canceled/expired</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(11,644)</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84.27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25.56</w:t>
            </w:r>
          </w:p>
        </w:tc>
        <w:tc>
          <w:tcPr>
            <w:tcW w:w="1240" w:type="dxa"/>
            <w:vAlign w:val="bottom"/>
            <w:tcBorders>
              <w:bottom w:val="single" w:sz="8" w:color="auto"/>
            </w:tcBorders>
            <w:shd w:val="clear" w:color="auto" w:fill="CCEEFF"/>
          </w:tcPr>
          <w:p>
            <w:pPr>
              <w:spacing w:after="0"/>
              <w:rPr>
                <w:sz w:val="22"/>
                <w:szCs w:val="22"/>
                <w:color w:val="auto"/>
              </w:rPr>
            </w:pPr>
          </w:p>
        </w:tc>
      </w:tr>
      <w:tr>
        <w:trPr>
          <w:trHeight w:val="203"/>
        </w:trPr>
        <w:tc>
          <w:tcPr>
            <w:tcW w:w="40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61"/>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2020</w:t>
            </w:r>
          </w:p>
        </w:tc>
        <w:tc>
          <w:tcPr>
            <w:tcW w:w="2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571,056</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107.71</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31.40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61"/>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Exercisable at September 30, 2020</w:t>
            </w:r>
          </w:p>
        </w:tc>
        <w:tc>
          <w:tcPr>
            <w:tcW w:w="2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237,118</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82.42</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24.65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220"/>
        <w:spacing w:after="0" w:line="250" w:lineRule="auto"/>
        <w:rPr>
          <w:sz w:val="20"/>
          <w:szCs w:val="20"/>
          <w:color w:val="auto"/>
        </w:rPr>
      </w:pPr>
      <w:r>
        <w:rPr>
          <w:rFonts w:ascii="Arial" w:cs="Arial" w:eastAsia="Arial" w:hAnsi="Arial"/>
          <w:sz w:val="16"/>
          <w:szCs w:val="16"/>
          <w:color w:val="auto"/>
        </w:rPr>
        <w:t>The Company has outstanding options with fair values ranging from $11.58 to $46.72 per option or a weighted average fair value of $22.73 per option. The Company issues ordinary shares for all options exercised. The total amount of fully vested share options which remained outstanding at September 30, 2020 was 237,118. Fully vested share options at September 30, 2020 have an average remaining contractual term of 3.79 years, an average exercise price of $82.42 and a total intrinsic value of $25.8 million. The total intrinsic value of options exercised during the nine months ended September 30, 2020 was $19.7 million (September 30, 2019: $24.9 million).</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2" w:name="page23"/>
    <w:bookmarkEnd w:id="22"/>
    <w:p>
      <w:pPr>
        <w:ind w:left="660"/>
        <w:spacing w:after="0"/>
        <w:rPr>
          <w:sz w:val="20"/>
          <w:szCs w:val="20"/>
          <w:color w:val="auto"/>
        </w:rPr>
      </w:pPr>
      <w:r>
        <w:rPr>
          <w:rFonts w:ascii="Arial" w:cs="Arial" w:eastAsia="Arial" w:hAnsi="Arial"/>
          <w:sz w:val="16"/>
          <w:szCs w:val="16"/>
          <w:color w:val="auto"/>
        </w:rPr>
        <w:t>The following table summarizes the movement in non-vested share options for the nine months ended September 30,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40" w:type="dxa"/>
            <w:vAlign w:val="bottom"/>
            <w:shd w:val="clear" w:color="auto" w:fill="CCEEFF"/>
          </w:tcPr>
          <w:p>
            <w:pPr>
              <w:spacing w:after="0"/>
              <w:rPr>
                <w:sz w:val="17"/>
                <w:szCs w:val="17"/>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5040" w:type="dxa"/>
            <w:vAlign w:val="bottom"/>
            <w:shd w:val="clear" w:color="auto" w:fill="CCEEFF"/>
          </w:tcPr>
          <w:p>
            <w:pPr>
              <w:spacing w:after="0"/>
              <w:rPr>
                <w:sz w:val="16"/>
                <w:szCs w:val="16"/>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Outstanding</w:t>
            </w: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Weighted Average</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040" w:type="dxa"/>
            <w:vAlign w:val="bottom"/>
            <w:tcBorders>
              <w:bottom w:val="single" w:sz="8" w:color="auto"/>
            </w:tcBorders>
            <w:shd w:val="clear" w:color="auto" w:fill="CCEEFF"/>
          </w:tcPr>
          <w:p>
            <w:pPr>
              <w:spacing w:after="0"/>
              <w:rPr>
                <w:sz w:val="19"/>
                <w:szCs w:val="19"/>
                <w:color w:val="auto"/>
              </w:rPr>
            </w:pPr>
          </w:p>
        </w:tc>
        <w:tc>
          <w:tcPr>
            <w:tcW w:w="3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Number of Shares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Value</w:t>
            </w:r>
          </w:p>
        </w:tc>
      </w:tr>
      <w:tr>
        <w:trPr>
          <w:trHeight w:val="25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Non-vested outstanding at December 31, 2019</w:t>
            </w:r>
          </w:p>
        </w:tc>
        <w:tc>
          <w:tcPr>
            <w:tcW w:w="3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358,030</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103.68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31.28</w:t>
            </w:r>
          </w:p>
        </w:tc>
      </w:tr>
      <w:tr>
        <w:trPr>
          <w:trHeight w:val="243"/>
        </w:trPr>
        <w:tc>
          <w:tcPr>
            <w:tcW w:w="50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3"/>
        </w:trPr>
        <w:tc>
          <w:tcPr>
            <w:tcW w:w="5040" w:type="dxa"/>
            <w:vAlign w:val="bottom"/>
          </w:tcPr>
          <w:p>
            <w:pPr>
              <w:ind w:left="20"/>
              <w:spacing w:after="0"/>
              <w:rPr>
                <w:sz w:val="20"/>
                <w:szCs w:val="20"/>
                <w:color w:val="auto"/>
              </w:rPr>
            </w:pPr>
            <w:r>
              <w:rPr>
                <w:rFonts w:ascii="Arial" w:cs="Arial" w:eastAsia="Arial" w:hAnsi="Arial"/>
                <w:sz w:val="16"/>
                <w:szCs w:val="16"/>
                <w:color w:val="auto"/>
              </w:rPr>
              <w:t>Granted</w:t>
            </w:r>
          </w:p>
        </w:tc>
        <w:tc>
          <w:tcPr>
            <w:tcW w:w="3080" w:type="dxa"/>
            <w:vAlign w:val="bottom"/>
          </w:tcPr>
          <w:p>
            <w:pPr>
              <w:jc w:val="right"/>
              <w:ind w:right="59"/>
              <w:spacing w:after="0"/>
              <w:rPr>
                <w:sz w:val="20"/>
                <w:szCs w:val="20"/>
                <w:color w:val="auto"/>
              </w:rPr>
            </w:pPr>
            <w:r>
              <w:rPr>
                <w:rFonts w:ascii="Arial" w:cs="Arial" w:eastAsia="Arial" w:hAnsi="Arial"/>
                <w:sz w:val="16"/>
                <w:szCs w:val="16"/>
                <w:color w:val="auto"/>
              </w:rPr>
              <w:t>107,737</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159.83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42.43</w:t>
            </w:r>
          </w:p>
        </w:tc>
      </w:tr>
      <w:tr>
        <w:trPr>
          <w:trHeight w:val="25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3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(124,605)</w:t>
            </w:r>
          </w:p>
        </w:tc>
        <w:tc>
          <w:tcPr>
            <w:tcW w:w="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92.25</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27.51</w:t>
            </w:r>
          </w:p>
        </w:tc>
      </w:tr>
      <w:tr>
        <w:trPr>
          <w:trHeight w:val="25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3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(7,224)</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122.18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35.25</w:t>
            </w:r>
          </w:p>
        </w:tc>
      </w:tr>
      <w:tr>
        <w:trPr>
          <w:trHeight w:val="243"/>
        </w:trPr>
        <w:tc>
          <w:tcPr>
            <w:tcW w:w="50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7"/>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Non-vested outstanding at September 30, 2020</w:t>
            </w:r>
          </w:p>
        </w:tc>
        <w:tc>
          <w:tcPr>
            <w:tcW w:w="3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333,938</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125.66</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36.20</w:t>
            </w:r>
          </w:p>
        </w:tc>
      </w:tr>
      <w:tr>
        <w:trPr>
          <w:trHeight w:val="27"/>
        </w:trPr>
        <w:tc>
          <w:tcPr>
            <w:tcW w:w="50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weighted average fair value of options granted during the nine months ended September 30, 2020 and September 30, 2019 was calculated using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pricing model. The weighted average grant date fair values and assumptions used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14"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31750</wp:posOffset>
            </wp:positionV>
            <wp:extent cx="2091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2020</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2019</w:t>
            </w:r>
          </w:p>
        </w:tc>
      </w:tr>
      <w:tr>
        <w:trPr>
          <w:trHeight w:val="250"/>
        </w:trPr>
        <w:tc>
          <w:tcPr>
            <w:tcW w:w="20" w:type="dxa"/>
            <w:vAlign w:val="bottom"/>
            <w:tcBorders>
              <w:bottom w:val="single" w:sz="8" w:color="auto"/>
            </w:tcBorders>
            <w:shd w:val="clear" w:color="auto" w:fill="CCEEFF"/>
          </w:tcPr>
          <w:p>
            <w:pPr>
              <w:spacing w:after="0"/>
              <w:rPr>
                <w:sz w:val="21"/>
                <w:szCs w:val="21"/>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30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42.43</w:t>
            </w:r>
          </w:p>
        </w:tc>
        <w:tc>
          <w:tcPr>
            <w:tcW w:w="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43.43</w:t>
            </w:r>
          </w:p>
        </w:tc>
      </w:tr>
      <w:tr>
        <w:trPr>
          <w:trHeight w:val="189"/>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Assumptions:</w:t>
            </w:r>
          </w:p>
        </w:tc>
        <w:tc>
          <w:tcPr>
            <w:tcW w:w="3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30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33"/>
        </w:trPr>
        <w:tc>
          <w:tcPr>
            <w:tcW w:w="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30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3"/>
        </w:trPr>
        <w:tc>
          <w:tcPr>
            <w:tcW w:w="20" w:type="dxa"/>
            <w:vAlign w:val="bottom"/>
            <w:shd w:val="clear" w:color="auto" w:fill="CCEEFF"/>
          </w:tcPr>
          <w:p>
            <w:pPr>
              <w:spacing w:after="0"/>
              <w:rPr>
                <w:sz w:val="21"/>
                <w:szCs w:val="21"/>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30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0.57 %</w:t>
            </w: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2.55 %</w:t>
            </w:r>
          </w:p>
        </w:tc>
      </w:tr>
      <w:tr>
        <w:trPr>
          <w:trHeight w:val="237"/>
        </w:trPr>
        <w:tc>
          <w:tcPr>
            <w:tcW w:w="2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30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r>
        <w:trPr>
          <w:trHeight w:val="27"/>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firstLine="251"/>
        <w:spacing w:after="0" w:line="25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64" w:lineRule="exact"/>
        <w:rPr>
          <w:sz w:val="20"/>
          <w:szCs w:val="20"/>
          <w:color w:val="auto"/>
        </w:rPr>
      </w:pPr>
    </w:p>
    <w:p>
      <w:pPr>
        <w:jc w:val="both"/>
        <w:ind w:firstLine="184"/>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32" w:lineRule="exact"/>
        <w:rPr>
          <w:sz w:val="20"/>
          <w:szCs w:val="20"/>
          <w:color w:val="auto"/>
        </w:rPr>
      </w:pPr>
    </w:p>
    <w:p>
      <w:pPr>
        <w:jc w:val="both"/>
        <w:ind w:firstLine="201"/>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2019 and 2020 vest over twelve months.</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23" w:name="page24"/>
    <w:bookmarkEnd w:id="23"/>
    <w:p>
      <w:pPr>
        <w:ind w:right="240" w:firstLine="177"/>
        <w:spacing w:after="0" w:line="260"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nine months ended September 30,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PSU</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89"/>
        </w:trPr>
        <w:tc>
          <w:tcPr>
            <w:tcW w:w="30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PSU</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Weighted</w:t>
            </w: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RSU</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0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Weighted</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Average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Weighted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0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Outstanding</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9"/>
              </w:rPr>
              <w:t>Average Grant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Remaining</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Outstanding</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Average Grant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30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Number of</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Date</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Contractual</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Number of</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Date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30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Fair Value</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Life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Fair Value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r>
      <w:tr>
        <w:trPr>
          <w:trHeight w:val="25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2019</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175,989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110.79</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1.04</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389,900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119.07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03"/>
        </w:trPr>
        <w:tc>
          <w:tcPr>
            <w:tcW w:w="30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3"/>
        </w:trPr>
        <w:tc>
          <w:tcPr>
            <w:tcW w:w="3000" w:type="dxa"/>
            <w:vAlign w:val="bottom"/>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57,184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165.30</w:t>
            </w:r>
          </w:p>
        </w:tc>
        <w:tc>
          <w:tcPr>
            <w:tcW w:w="134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126,998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165.43</w:t>
            </w:r>
          </w:p>
        </w:tc>
        <w:tc>
          <w:tcPr>
            <w:tcW w:w="1140" w:type="dxa"/>
            <w:vAlign w:val="bottom"/>
          </w:tcPr>
          <w:p>
            <w:pPr>
              <w:spacing w:after="0"/>
              <w:rPr>
                <w:sz w:val="20"/>
                <w:szCs w:val="20"/>
                <w:color w:val="auto"/>
              </w:rPr>
            </w:pPr>
          </w:p>
        </w:tc>
      </w:tr>
      <w:tr>
        <w:trPr>
          <w:trHeight w:val="25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83.92</w:t>
            </w:r>
          </w:p>
        </w:tc>
        <w:tc>
          <w:tcPr>
            <w:tcW w:w="1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(144,170)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98.34</w:t>
            </w:r>
          </w:p>
        </w:tc>
        <w:tc>
          <w:tcPr>
            <w:tcW w:w="1140" w:type="dxa"/>
            <w:vAlign w:val="bottom"/>
            <w:shd w:val="clear" w:color="auto" w:fill="CCEEFF"/>
          </w:tcPr>
          <w:p>
            <w:pPr>
              <w:spacing w:after="0"/>
              <w:rPr>
                <w:sz w:val="21"/>
                <w:szCs w:val="21"/>
                <w:color w:val="auto"/>
              </w:rPr>
            </w:pPr>
          </w:p>
        </w:tc>
      </w:tr>
      <w:tr>
        <w:trPr>
          <w:trHeight w:val="25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136.16</w:t>
            </w:r>
          </w:p>
        </w:tc>
        <w:tc>
          <w:tcPr>
            <w:tcW w:w="1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131.38</w:t>
            </w:r>
          </w:p>
        </w:tc>
        <w:tc>
          <w:tcPr>
            <w:tcW w:w="1140" w:type="dxa"/>
            <w:vAlign w:val="bottom"/>
            <w:tcBorders>
              <w:bottom w:val="single" w:sz="8" w:color="auto"/>
            </w:tcBorders>
          </w:tcPr>
          <w:p>
            <w:pPr>
              <w:spacing w:after="0"/>
              <w:rPr>
                <w:sz w:val="21"/>
                <w:szCs w:val="21"/>
                <w:color w:val="auto"/>
              </w:rPr>
            </w:pPr>
          </w:p>
        </w:tc>
      </w:tr>
      <w:tr>
        <w:trPr>
          <w:trHeight w:val="203"/>
        </w:trPr>
        <w:tc>
          <w:tcPr>
            <w:tcW w:w="30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7"/>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September 30, 2020</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165,955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137.56</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342,616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143.87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27"/>
        </w:trPr>
        <w:tc>
          <w:tcPr>
            <w:tcW w:w="3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fair value of PSUs vested for the nine months ended September 30, 2020 totaled $5.3 million (full year 2019: $16.5 million).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fair value of RSUs vested for the nine months ended September 30, 2020 totaled $14.2 million (full year 2019: $8.5 million).</w:t>
      </w:r>
    </w:p>
    <w:p>
      <w:pPr>
        <w:spacing w:after="0" w:line="248" w:lineRule="exact"/>
        <w:rPr>
          <w:sz w:val="20"/>
          <w:szCs w:val="20"/>
          <w:color w:val="auto"/>
        </w:rPr>
      </w:pPr>
    </w:p>
    <w:p>
      <w:pPr>
        <w:jc w:val="both"/>
        <w:ind w:firstLine="210"/>
        <w:spacing w:after="0" w:line="260" w:lineRule="auto"/>
        <w:rPr>
          <w:sz w:val="20"/>
          <w:szCs w:val="20"/>
          <w:color w:val="auto"/>
        </w:rPr>
      </w:pPr>
      <w:r>
        <w:rPr>
          <w:rFonts w:ascii="Arial" w:cs="Arial" w:eastAsia="Arial" w:hAnsi="Arial"/>
          <w:sz w:val="16"/>
          <w:szCs w:val="16"/>
          <w:color w:val="auto"/>
        </w:rPr>
        <w:t>The PSUs vest based on service and specified EPS targets over the periods 2018 – 2020, 2019 – 2021 and 2020 – 2022. Depending on the amount of EPS from 2018 to 2022, up to an additional 77,027 PSUs may also be granted.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Non-cash stock compensation expense for the three and nine months ended September 30, 2020 and September 30, 2019 has been allocated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72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20"/>
                <w:szCs w:val="20"/>
                <w:color w:val="auto"/>
              </w:rPr>
            </w:pPr>
          </w:p>
        </w:tc>
        <w:tc>
          <w:tcPr>
            <w:tcW w:w="262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196"/>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r>
      <w:tr>
        <w:trPr>
          <w:trHeight w:val="228"/>
        </w:trPr>
        <w:tc>
          <w:tcPr>
            <w:tcW w:w="5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5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720" w:type="dxa"/>
            <w:vAlign w:val="bottom"/>
            <w:gridSpan w:val="3"/>
            <w:shd w:val="clear" w:color="auto" w:fill="CCEEFF"/>
          </w:tcPr>
          <w:p>
            <w:pPr>
              <w:ind w:left="70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21"/>
                <w:szCs w:val="21"/>
                <w:color w:val="auto"/>
              </w:rPr>
            </w:pPr>
          </w:p>
        </w:tc>
        <w:tc>
          <w:tcPr>
            <w:tcW w:w="2620" w:type="dxa"/>
            <w:vAlign w:val="bottom"/>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52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700"/>
              <w:spacing w:after="0"/>
              <w:rPr>
                <w:sz w:val="20"/>
                <w:szCs w:val="20"/>
                <w:color w:val="auto"/>
              </w:rPr>
            </w:pPr>
            <w:r>
              <w:rPr>
                <w:rFonts w:ascii="Arial" w:cs="Arial" w:eastAsia="Arial" w:hAnsi="Arial"/>
                <w:sz w:val="16"/>
                <w:szCs w:val="16"/>
                <w:color w:val="auto"/>
              </w:rPr>
              <w:t>2,284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4,535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6,472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11,607</w:t>
            </w:r>
          </w:p>
        </w:tc>
      </w:tr>
      <w:tr>
        <w:trPr>
          <w:trHeight w:val="260"/>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4,687</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3,696</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13,685</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9,458</w:t>
            </w:r>
          </w:p>
        </w:tc>
      </w:tr>
      <w:tr>
        <w:trPr>
          <w:trHeight w:val="203"/>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62"/>
        </w:trPr>
        <w:tc>
          <w:tcPr>
            <w:tcW w:w="55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6,971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8,231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20,157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21,065</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non-cash stock compensation expense not yet recognized at September 30, 2020 amounted to $52.7 million. The weighted average period over which this is expected to be recognized is 2.25 years.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Share capital</w:t>
      </w:r>
    </w:p>
    <w:p>
      <w:pPr>
        <w:spacing w:after="0" w:line="268" w:lineRule="exact"/>
        <w:rPr>
          <w:sz w:val="20"/>
          <w:szCs w:val="20"/>
          <w:color w:val="auto"/>
        </w:rPr>
      </w:pPr>
    </w:p>
    <w:p>
      <w:pPr>
        <w:jc w:val="both"/>
        <w:ind w:right="20" w:firstLine="194"/>
        <w:spacing w:after="0" w:line="260"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the United States securities laws, and the Company’s constitutional documents through open market share acquisitions.</w:t>
      </w:r>
    </w:p>
    <w:p>
      <w:pPr>
        <w:spacing w:after="0" w:line="222" w:lineRule="exact"/>
        <w:rPr>
          <w:sz w:val="20"/>
          <w:szCs w:val="20"/>
          <w:color w:val="auto"/>
        </w:rPr>
      </w:pPr>
    </w:p>
    <w:p>
      <w:pPr>
        <w:jc w:val="both"/>
        <w:ind w:firstLine="184"/>
        <w:spacing w:after="0" w:line="253"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w:t>
      </w:r>
    </w:p>
    <w:p>
      <w:pPr>
        <w:spacing w:after="0" w:line="228" w:lineRule="exact"/>
        <w:rPr>
          <w:sz w:val="20"/>
          <w:szCs w:val="20"/>
          <w:color w:val="auto"/>
        </w:rPr>
      </w:pPr>
    </w:p>
    <w:p>
      <w:pPr>
        <w:jc w:val="both"/>
        <w:ind w:firstLine="222"/>
        <w:spacing w:after="0" w:line="260" w:lineRule="auto"/>
        <w:rPr>
          <w:sz w:val="20"/>
          <w:szCs w:val="20"/>
          <w:color w:val="auto"/>
        </w:rPr>
      </w:pPr>
      <w:r>
        <w:rPr>
          <w:rFonts w:ascii="Arial" w:cs="Arial" w:eastAsia="Arial" w:hAnsi="Arial"/>
          <w:sz w:val="16"/>
          <w:szCs w:val="16"/>
          <w:color w:val="auto"/>
        </w:rPr>
        <w:t>During the nine months ended September 30, 2020 1,235,218 ordinary shares were redeemed by the Company under this buyback program for a total consideration of $175.0 million.</w:t>
      </w:r>
    </w:p>
    <w:p>
      <w:pPr>
        <w:spacing w:after="0" w:line="222" w:lineRule="exact"/>
        <w:rPr>
          <w:sz w:val="20"/>
          <w:szCs w:val="20"/>
          <w:color w:val="auto"/>
        </w:rPr>
      </w:pPr>
    </w:p>
    <w:p>
      <w:pPr>
        <w:jc w:val="both"/>
        <w:ind w:firstLine="189"/>
        <w:spacing w:after="0" w:line="253" w:lineRule="auto"/>
        <w:rPr>
          <w:sz w:val="20"/>
          <w:szCs w:val="20"/>
          <w:color w:val="auto"/>
        </w:rPr>
      </w:pPr>
      <w:r>
        <w:rPr>
          <w:rFonts w:ascii="Arial" w:cs="Arial" w:eastAsia="Arial" w:hAnsi="Arial"/>
          <w:sz w:val="16"/>
          <w:szCs w:val="16"/>
          <w:color w:val="auto"/>
        </w:rPr>
        <w:t>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an other undenominated capital reserve as required under Irish Company Law.</w:t>
      </w:r>
    </w:p>
    <w:p>
      <w:pPr>
        <w:sectPr>
          <w:pgSz w:w="11900" w:h="16838" w:orient="portrait"/>
          <w:cols w:equalWidth="0" w:num="1">
            <w:col w:w="11240"/>
          </w:cols>
          <w:pgMar w:left="320" w:top="1154"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14 Business segment information</w:t>
      </w:r>
    </w:p>
    <w:p>
      <w:pPr>
        <w:spacing w:after="0" w:line="268" w:lineRule="exact"/>
        <w:rPr>
          <w:sz w:val="20"/>
          <w:szCs w:val="20"/>
          <w:color w:val="auto"/>
        </w:rPr>
      </w:pPr>
    </w:p>
    <w:p>
      <w:pPr>
        <w:jc w:val="both"/>
        <w:ind w:firstLine="188"/>
        <w:spacing w:after="0" w:line="253"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228" w:lineRule="exact"/>
        <w:rPr>
          <w:sz w:val="20"/>
          <w:szCs w:val="20"/>
          <w:color w:val="auto"/>
        </w:rPr>
      </w:pPr>
    </w:p>
    <w:p>
      <w:pPr>
        <w:jc w:val="both"/>
        <w:ind w:firstLine="251"/>
        <w:spacing w:after="0" w:line="253" w:lineRule="auto"/>
        <w:rPr>
          <w:sz w:val="20"/>
          <w:szCs w:val="20"/>
          <w:color w:val="auto"/>
        </w:rPr>
      </w:pPr>
      <w:r>
        <w:rPr>
          <w:rFonts w:ascii="Arial" w:cs="Arial" w:eastAsia="Arial" w:hAnsi="Arial"/>
          <w:sz w:val="16"/>
          <w:szCs w:val="16"/>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28" w:lineRule="exact"/>
        <w:rPr>
          <w:sz w:val="20"/>
          <w:szCs w:val="20"/>
          <w:color w:val="auto"/>
        </w:rPr>
      </w:pPr>
    </w:p>
    <w:p>
      <w:pPr>
        <w:jc w:val="both"/>
        <w:ind w:firstLine="337"/>
        <w:spacing w:after="0" w:line="24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32" w:lineRule="exact"/>
        <w:rPr>
          <w:sz w:val="20"/>
          <w:szCs w:val="20"/>
          <w:color w:val="auto"/>
        </w:rPr>
      </w:pPr>
    </w:p>
    <w:p>
      <w:pPr>
        <w:jc w:val="both"/>
        <w:ind w:firstLine="339"/>
        <w:spacing w:after="0" w:line="250" w:lineRule="auto"/>
        <w:rPr>
          <w:sz w:val="20"/>
          <w:szCs w:val="20"/>
          <w:color w:val="auto"/>
        </w:rPr>
      </w:pPr>
      <w:r>
        <w:rPr>
          <w:rFonts w:ascii="Arial" w:cs="Arial" w:eastAsia="Arial" w:hAnsi="Arial"/>
          <w:sz w:val="16"/>
          <w:szCs w:val="16"/>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30" w:lineRule="exact"/>
        <w:rPr>
          <w:sz w:val="20"/>
          <w:szCs w:val="20"/>
          <w:color w:val="auto"/>
        </w:rPr>
      </w:pPr>
    </w:p>
    <w:p>
      <w:pPr>
        <w:jc w:val="both"/>
        <w:ind w:firstLine="188"/>
        <w:spacing w:after="0" w:line="253"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2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 up policy is reviewed annually to ensure that it is market appropriate.</w:t>
      </w:r>
    </w:p>
    <w:p>
      <w:pPr>
        <w:spacing w:after="0" w:line="229" w:lineRule="exact"/>
        <w:rPr>
          <w:sz w:val="20"/>
          <w:szCs w:val="20"/>
          <w:color w:val="auto"/>
        </w:rPr>
      </w:pPr>
    </w:p>
    <w:p>
      <w:pPr>
        <w:jc w:val="both"/>
        <w:ind w:firstLine="203"/>
        <w:spacing w:after="0" w:line="251"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229" w:lineRule="exact"/>
        <w:rPr>
          <w:sz w:val="20"/>
          <w:szCs w:val="20"/>
          <w:color w:val="auto"/>
        </w:rPr>
      </w:pPr>
    </w:p>
    <w:p>
      <w:pPr>
        <w:jc w:val="both"/>
        <w:ind w:firstLine="276"/>
        <w:spacing w:after="0" w:line="251" w:lineRule="auto"/>
        <w:rPr>
          <w:sz w:val="20"/>
          <w:szCs w:val="20"/>
          <w:color w:val="auto"/>
        </w:rPr>
      </w:pPr>
      <w:r>
        <w:rPr>
          <w:rFonts w:ascii="Arial" w:cs="Arial" w:eastAsia="Arial" w:hAnsi="Arial"/>
          <w:sz w:val="16"/>
          <w:szCs w:val="16"/>
          <w:color w:val="auto"/>
        </w:rPr>
        <w:t>The Company's areas of operation outside of Ireland include the United States, United Kingdom, Belgium, Bulgaria, France, Germany, Italy, Spain, Poland, Portugal, Czech Republic, Hungary, Israel, Latvia, Romania, Russia, Serbia, Sweden, The Netherlands, Turkey, Ukraine, Canada, Argentina, Brazil, Chile, Colombia, Mexico, Peru, India, China (including Hong Kong), Japan, Singapore, South Korea, The Philippines, Taiwan, Thailand, Australia, New Zealand and South Africa.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ind w:right="20" w:firstLine="187"/>
        <w:spacing w:after="0" w:line="260" w:lineRule="auto"/>
        <w:rPr>
          <w:sz w:val="20"/>
          <w:szCs w:val="20"/>
          <w:color w:val="auto"/>
        </w:rPr>
      </w:pPr>
      <w:r>
        <w:rPr>
          <w:rFonts w:ascii="Arial" w:cs="Arial" w:eastAsia="Arial" w:hAnsi="Arial"/>
          <w:sz w:val="16"/>
          <w:szCs w:val="16"/>
          <w:color w:val="auto"/>
        </w:rPr>
        <w:t>The geographical distribution of the Company’s segment measures as at September 30, 2020 and December 31, 2019 and for the three and nine months ended September 30, 2020 and September 30, 2019 is as follows: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The distribution of revenue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54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shd w:val="clear" w:color="auto" w:fill="CCEEFF"/>
          </w:tcPr>
          <w:p>
            <w:pPr>
              <w:spacing w:after="0"/>
              <w:rPr>
                <w:sz w:val="20"/>
                <w:szCs w:val="20"/>
                <w:color w:val="auto"/>
              </w:rPr>
            </w:pPr>
          </w:p>
        </w:tc>
        <w:tc>
          <w:tcPr>
            <w:tcW w:w="2480" w:type="dxa"/>
            <w:vAlign w:val="bottom"/>
            <w:tcBorders>
              <w:bottom w:val="single" w:sz="8" w:color="auto"/>
            </w:tcBorders>
            <w:gridSpan w:val="3"/>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Nine Months Ended</w:t>
            </w:r>
          </w:p>
        </w:tc>
      </w:tr>
      <w:tr>
        <w:trPr>
          <w:trHeight w:val="196"/>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w w:val="98"/>
              </w:rPr>
              <w:t>September 30,</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w w:val="98"/>
              </w:rPr>
              <w:t>September 30,</w:t>
            </w:r>
          </w:p>
        </w:tc>
      </w:tr>
      <w:tr>
        <w:trPr>
          <w:trHeight w:val="228"/>
        </w:trPr>
        <w:tc>
          <w:tcPr>
            <w:tcW w:w="5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5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40" w:type="dxa"/>
            <w:vAlign w:val="bottom"/>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(in thousands)</w:t>
            </w:r>
          </w:p>
        </w:tc>
        <w:tc>
          <w:tcPr>
            <w:tcW w:w="16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Ireland *</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250,230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320,459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844,945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929,419</w:t>
            </w:r>
          </w:p>
        </w:tc>
      </w:tr>
      <w:tr>
        <w:trPr>
          <w:trHeight w:val="25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100,635</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98,080</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292,453</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282,717</w:t>
            </w: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285,550</w:t>
            </w:r>
          </w:p>
        </w:tc>
        <w:tc>
          <w:tcPr>
            <w:tcW w:w="1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223,900</w:t>
            </w:r>
          </w:p>
        </w:tc>
        <w:tc>
          <w:tcPr>
            <w:tcW w:w="1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700,483</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664,752</w:t>
            </w:r>
          </w:p>
        </w:tc>
      </w:tr>
      <w:tr>
        <w:trPr>
          <w:trHeight w:val="260"/>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65,314</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68,002</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199,178</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203,542</w:t>
            </w:r>
          </w:p>
        </w:tc>
      </w:tr>
      <w:tr>
        <w:trPr>
          <w:trHeight w:val="243"/>
        </w:trPr>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2"/>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701,729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710,441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2,037,059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2,080,430</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600" w:hanging="106"/>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sales shown for Ireland are export sales.</w:t>
      </w:r>
    </w:p>
    <w:p>
      <w:pPr>
        <w:spacing w:after="0" w:line="248" w:lineRule="exact"/>
        <w:rPr>
          <w:rFonts w:ascii="Arial" w:cs="Arial" w:eastAsia="Arial" w:hAnsi="Arial"/>
          <w:sz w:val="16"/>
          <w:szCs w:val="16"/>
          <w:color w:val="auto"/>
        </w:rPr>
      </w:pPr>
    </w:p>
    <w:p>
      <w:pPr>
        <w:ind w:left="840" w:hanging="184"/>
        <w:spacing w:after="0"/>
        <w:tabs>
          <w:tab w:leader="none" w:pos="8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distribution of income from operations including restructuring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54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shd w:val="clear" w:color="auto" w:fill="CCEEFF"/>
          </w:tcPr>
          <w:p>
            <w:pPr>
              <w:spacing w:after="0"/>
              <w:rPr>
                <w:sz w:val="20"/>
                <w:szCs w:val="20"/>
                <w:color w:val="auto"/>
              </w:rPr>
            </w:pPr>
          </w:p>
        </w:tc>
        <w:tc>
          <w:tcPr>
            <w:tcW w:w="2480" w:type="dxa"/>
            <w:vAlign w:val="bottom"/>
            <w:tcBorders>
              <w:bottom w:val="single" w:sz="8" w:color="auto"/>
            </w:tcBorders>
            <w:gridSpan w:val="3"/>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Nine Months Ended</w:t>
            </w:r>
          </w:p>
        </w:tc>
      </w:tr>
      <w:tr>
        <w:trPr>
          <w:trHeight w:val="196"/>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w w:val="98"/>
              </w:rPr>
              <w:t>September 30,</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w w:val="98"/>
              </w:rPr>
              <w:t>September 30,</w:t>
            </w:r>
          </w:p>
        </w:tc>
      </w:tr>
      <w:tr>
        <w:trPr>
          <w:trHeight w:val="228"/>
        </w:trPr>
        <w:tc>
          <w:tcPr>
            <w:tcW w:w="5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5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40" w:type="dxa"/>
            <w:vAlign w:val="bottom"/>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(in thousands)</w:t>
            </w:r>
          </w:p>
        </w:tc>
        <w:tc>
          <w:tcPr>
            <w:tcW w:w="16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81,800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82,529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194,390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231,202</w:t>
            </w:r>
          </w:p>
        </w:tc>
      </w:tr>
      <w:tr>
        <w:trPr>
          <w:trHeight w:val="25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4,713</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10,234</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22,529</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21,747</w:t>
            </w: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14,399</w:t>
            </w:r>
          </w:p>
        </w:tc>
        <w:tc>
          <w:tcPr>
            <w:tcW w:w="1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11,975</w:t>
            </w:r>
          </w:p>
        </w:tc>
        <w:tc>
          <w:tcPr>
            <w:tcW w:w="1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37,667</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45,382</w:t>
            </w:r>
          </w:p>
        </w:tc>
      </w:tr>
      <w:tr>
        <w:trPr>
          <w:trHeight w:val="260"/>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7,489</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5,306</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17,055</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19,749</w:t>
            </w:r>
          </w:p>
        </w:tc>
      </w:tr>
      <w:tr>
        <w:trPr>
          <w:trHeight w:val="243"/>
        </w:trPr>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1"/>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108,401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110,044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271,641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318,080</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The distribution of income from operations excluding restructuring by geographical area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54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shd w:val="clear" w:color="auto" w:fill="CCEEFF"/>
          </w:tcPr>
          <w:p>
            <w:pPr>
              <w:spacing w:after="0"/>
              <w:rPr>
                <w:sz w:val="20"/>
                <w:szCs w:val="20"/>
                <w:color w:val="auto"/>
              </w:rPr>
            </w:pPr>
          </w:p>
        </w:tc>
        <w:tc>
          <w:tcPr>
            <w:tcW w:w="2480" w:type="dxa"/>
            <w:vAlign w:val="bottom"/>
            <w:tcBorders>
              <w:bottom w:val="single" w:sz="8" w:color="auto"/>
            </w:tcBorders>
            <w:gridSpan w:val="3"/>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Nine Months Ended</w:t>
            </w: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w w:val="98"/>
              </w:rPr>
              <w:t>September 30,</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w w:val="98"/>
              </w:rPr>
              <w:t>September 30,</w:t>
            </w:r>
          </w:p>
        </w:tc>
      </w:tr>
      <w:tr>
        <w:trPr>
          <w:trHeight w:val="228"/>
        </w:trPr>
        <w:tc>
          <w:tcPr>
            <w:tcW w:w="5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5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40" w:type="dxa"/>
            <w:vAlign w:val="bottom"/>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(in thousands)</w:t>
            </w:r>
          </w:p>
        </w:tc>
        <w:tc>
          <w:tcPr>
            <w:tcW w:w="16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81,800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82,529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212,479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231,202</w:t>
            </w:r>
          </w:p>
        </w:tc>
      </w:tr>
      <w:tr>
        <w:trPr>
          <w:trHeight w:val="25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4,713</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10,234</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22,529</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21,747</w:t>
            </w: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14,399</w:t>
            </w:r>
          </w:p>
        </w:tc>
        <w:tc>
          <w:tcPr>
            <w:tcW w:w="1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11,975</w:t>
            </w:r>
          </w:p>
        </w:tc>
        <w:tc>
          <w:tcPr>
            <w:tcW w:w="1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37,667</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45,382</w:t>
            </w:r>
          </w:p>
        </w:tc>
      </w:tr>
      <w:tr>
        <w:trPr>
          <w:trHeight w:val="260"/>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7,489</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5,306</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17,055</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19,749</w:t>
            </w:r>
          </w:p>
        </w:tc>
      </w:tr>
      <w:tr>
        <w:trPr>
          <w:trHeight w:val="243"/>
        </w:trPr>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2"/>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108,401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110,044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289,730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318,080</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11" w:right="339" w:bottom="9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950" w:gutter="0" w:footer="0" w:header="0"/>
          <w:type w:val="continuous"/>
        </w:sectPr>
      </w:pPr>
    </w:p>
    <w:bookmarkStart w:id="26" w:name="page27"/>
    <w:bookmarkEnd w:id="26"/>
    <w:p>
      <w:pPr>
        <w:ind w:left="660"/>
        <w:spacing w:after="0"/>
        <w:rPr>
          <w:sz w:val="20"/>
          <w:szCs w:val="20"/>
          <w:color w:val="auto"/>
        </w:rPr>
      </w:pPr>
      <w:r>
        <w:rPr>
          <w:rFonts w:ascii="Arial" w:cs="Arial" w:eastAsia="Arial" w:hAnsi="Arial"/>
          <w:sz w:val="16"/>
          <w:szCs w:val="16"/>
          <w:color w:val="auto"/>
        </w:rPr>
        <w:t>d) The distribution of long-lived assets (including right-of-use assets), net,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8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780" w:type="dxa"/>
            <w:vAlign w:val="bottom"/>
            <w:tcBorders>
              <w:bottom w:val="single" w:sz="8" w:color="auto"/>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33"/>
        </w:trPr>
        <w:tc>
          <w:tcPr>
            <w:tcW w:w="47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4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108,861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110,522</w:t>
            </w:r>
          </w:p>
        </w:tc>
      </w:tr>
      <w:tr>
        <w:trPr>
          <w:trHeight w:val="233"/>
        </w:trPr>
        <w:tc>
          <w:tcPr>
            <w:tcW w:w="478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8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33,825</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41,970</w:t>
            </w:r>
          </w:p>
        </w:tc>
      </w:tr>
      <w:tr>
        <w:trPr>
          <w:trHeight w:val="25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8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62,502</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72,578</w:t>
            </w:r>
          </w:p>
        </w:tc>
      </w:tr>
      <w:tr>
        <w:trPr>
          <w:trHeight w:val="25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38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40,540</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44,994</w:t>
            </w:r>
          </w:p>
        </w:tc>
      </w:tr>
      <w:tr>
        <w:trPr>
          <w:trHeight w:val="256"/>
        </w:trPr>
        <w:tc>
          <w:tcPr>
            <w:tcW w:w="478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245,728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270,064</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
        </w:trPr>
        <w:tc>
          <w:tcPr>
            <w:tcW w:w="478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2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 The distribution of depreciation, amortization and reduction in carrying value of the right-of-use assets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gridSpan w:val="3"/>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shd w:val="clear" w:color="auto" w:fill="CCEEFF"/>
          </w:tcPr>
          <w:p>
            <w:pPr>
              <w:spacing w:after="0"/>
              <w:rPr>
                <w:sz w:val="20"/>
                <w:szCs w:val="20"/>
                <w:color w:val="auto"/>
              </w:rPr>
            </w:pPr>
          </w:p>
        </w:tc>
        <w:tc>
          <w:tcPr>
            <w:tcW w:w="2480" w:type="dxa"/>
            <w:vAlign w:val="bottom"/>
            <w:tcBorders>
              <w:bottom w:val="single" w:sz="8" w:color="auto"/>
            </w:tcBorders>
            <w:gridSpan w:val="3"/>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Nine Months Ended</w:t>
            </w:r>
          </w:p>
        </w:tc>
      </w:tr>
      <w:tr>
        <w:trPr>
          <w:trHeight w:val="196"/>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w w:val="98"/>
              </w:rPr>
              <w:t>September 30,</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w w:val="98"/>
              </w:rPr>
              <w:t>September 30,</w:t>
            </w:r>
          </w:p>
        </w:tc>
      </w:tr>
      <w:tr>
        <w:trPr>
          <w:trHeight w:val="228"/>
        </w:trPr>
        <w:tc>
          <w:tcPr>
            <w:tcW w:w="5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5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20" w:type="dxa"/>
            <w:vAlign w:val="bottom"/>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8,556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6,990</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379"/>
              <w:spacing w:after="0"/>
              <w:rPr>
                <w:sz w:val="20"/>
                <w:szCs w:val="20"/>
                <w:color w:val="auto"/>
              </w:rPr>
            </w:pPr>
            <w:r>
              <w:rPr>
                <w:rFonts w:ascii="Arial" w:cs="Arial" w:eastAsia="Arial" w:hAnsi="Arial"/>
                <w:sz w:val="16"/>
                <w:szCs w:val="16"/>
                <w:color w:val="auto"/>
              </w:rPr>
              <w:t>24,748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21,906</w:t>
            </w:r>
          </w:p>
        </w:tc>
      </w:tr>
      <w:tr>
        <w:trPr>
          <w:trHeight w:val="25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4,016</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3,560</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11,503</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10,612</w:t>
            </w: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7,406</w:t>
            </w: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6,563</w:t>
            </w:r>
          </w:p>
        </w:tc>
        <w:tc>
          <w:tcPr>
            <w:tcW w:w="180" w:type="dxa"/>
            <w:vAlign w:val="bottom"/>
          </w:tcPr>
          <w:p>
            <w:pPr>
              <w:spacing w:after="0"/>
              <w:rPr>
                <w:sz w:val="20"/>
                <w:szCs w:val="20"/>
                <w:color w:val="auto"/>
              </w:rPr>
            </w:pPr>
          </w:p>
        </w:tc>
        <w:tc>
          <w:tcPr>
            <w:tcW w:w="1120" w:type="dxa"/>
            <w:vAlign w:val="bottom"/>
          </w:tcPr>
          <w:p>
            <w:pPr>
              <w:jc w:val="center"/>
              <w:ind w:left="379"/>
              <w:spacing w:after="0"/>
              <w:rPr>
                <w:sz w:val="20"/>
                <w:szCs w:val="20"/>
                <w:color w:val="auto"/>
              </w:rPr>
            </w:pPr>
            <w:r>
              <w:rPr>
                <w:rFonts w:ascii="Arial" w:cs="Arial" w:eastAsia="Arial" w:hAnsi="Arial"/>
                <w:sz w:val="16"/>
                <w:szCs w:val="16"/>
                <w:color w:val="auto"/>
              </w:rPr>
              <w:t>22,246</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23,743</w:t>
            </w:r>
          </w:p>
        </w:tc>
      </w:tr>
      <w:tr>
        <w:trPr>
          <w:trHeight w:val="260"/>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3,853</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5,865</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color w:val="auto"/>
              </w:rPr>
              <w:t>11,851</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12,448</w:t>
            </w:r>
          </w:p>
        </w:tc>
      </w:tr>
      <w:tr>
        <w:trPr>
          <w:trHeight w:val="243"/>
        </w:trPr>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2"/>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23,831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22,978</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color w:val="auto"/>
              </w:rPr>
              <w:t>70,348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68,709</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5940" w:type="dxa"/>
            <w:vAlign w:val="bottom"/>
          </w:tcPr>
          <w:p>
            <w:pPr>
              <w:ind w:left="660"/>
              <w:spacing w:after="0"/>
              <w:rPr>
                <w:sz w:val="20"/>
                <w:szCs w:val="20"/>
                <w:color w:val="auto"/>
              </w:rPr>
            </w:pPr>
            <w:r>
              <w:rPr>
                <w:rFonts w:ascii="Arial" w:cs="Arial" w:eastAsia="Arial" w:hAnsi="Arial"/>
                <w:sz w:val="16"/>
                <w:szCs w:val="16"/>
                <w:color w:val="auto"/>
              </w:rPr>
              <w:t>f) The distribution of total assets by geographical area was as follows: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0"/>
        </w:trPr>
        <w:tc>
          <w:tcPr>
            <w:tcW w:w="5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0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98"/>
        </w:trPr>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9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33"/>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1,492,836</w:t>
            </w:r>
          </w:p>
        </w:tc>
        <w:tc>
          <w:tcPr>
            <w:tcW w:w="2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1,323,181</w:t>
            </w: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645,165</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660,797</w:t>
            </w:r>
          </w:p>
        </w:tc>
      </w:tr>
      <w:tr>
        <w:trPr>
          <w:trHeight w:val="25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759,692</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755,271</w:t>
            </w:r>
          </w:p>
        </w:tc>
      </w:tr>
      <w:tr>
        <w:trPr>
          <w:trHeight w:val="25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167,605</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168,263</w:t>
            </w:r>
          </w:p>
        </w:tc>
      </w:tr>
      <w:tr>
        <w:trPr>
          <w:trHeight w:val="243"/>
        </w:trPr>
        <w:tc>
          <w:tcPr>
            <w:tcW w:w="5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6"/>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3,065,298</w:t>
            </w:r>
          </w:p>
        </w:tc>
        <w:tc>
          <w:tcPr>
            <w:tcW w:w="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2,907,512</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15. Impact of change in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ASC 326 Financial Instruments - Credit Losses</w:t>
      </w:r>
    </w:p>
    <w:p>
      <w:pPr>
        <w:spacing w:after="0" w:line="248" w:lineRule="exact"/>
        <w:rPr>
          <w:sz w:val="20"/>
          <w:szCs w:val="20"/>
          <w:color w:val="auto"/>
        </w:rPr>
      </w:pPr>
    </w:p>
    <w:p>
      <w:pPr>
        <w:jc w:val="both"/>
        <w:ind w:firstLine="193"/>
        <w:spacing w:after="0" w:line="263" w:lineRule="auto"/>
        <w:rPr>
          <w:sz w:val="20"/>
          <w:szCs w:val="20"/>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(ASU 2016-13) was effective, and adopted by the Group, from January 1, 2020. Primarily, ASU 2016-13 introduces an expected loss methodology that is referred to as the current expected credit loss (CECL) methodology.</w:t>
      </w: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objectives of previous loss methodologies for instruments within the scope of this update generally delayed recognition of the full amount of credit losses until the loss was probable of occurring. Under ASU 2016-13, losses reflect an entity’s current estimate of all expected credit losses including, in addition to the consideration of past events and current conditions, as under the current guidance, incorporating the use of forecast information to provide more timely and accurate credit loss estimates. The measurement of expected credit losses under the CECL methodology is applicable to financial assets measured at amortized cost, including loan receivables and held-to-maturity debt securities. It also applies to off-balance sheet credit exposures not accounted as insurance (loan commitments, standby letters of credit, financial guarantees, and other similar instruments) and net investments in leases recognized by a lessor in accordance with ASC 842 on leases.</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ASC 326 changed the accounting for available-for-sale (AFS) debt securities to require credit losses to be presented as an allowance rather than as a write-down to align the income statement recognition of credit losses on AFS debt securities with the reporting period in which the changes occur.</w:t>
      </w:r>
    </w:p>
    <w:p>
      <w:pPr>
        <w:spacing w:after="0" w:line="228" w:lineRule="exact"/>
        <w:rPr>
          <w:sz w:val="20"/>
          <w:szCs w:val="20"/>
          <w:color w:val="auto"/>
        </w:rPr>
      </w:pPr>
    </w:p>
    <w:p>
      <w:pPr>
        <w:jc w:val="both"/>
        <w:ind w:firstLine="221"/>
        <w:spacing w:after="0" w:line="253" w:lineRule="auto"/>
        <w:rPr>
          <w:sz w:val="20"/>
          <w:szCs w:val="20"/>
          <w:color w:val="auto"/>
        </w:rPr>
      </w:pPr>
      <w:r>
        <w:rPr>
          <w:rFonts w:ascii="Arial" w:cs="Arial" w:eastAsia="Arial" w:hAnsi="Arial"/>
          <w:sz w:val="16"/>
          <w:szCs w:val="16"/>
          <w:color w:val="auto"/>
        </w:rPr>
        <w:t>The Group adopted ASC 326 using the modified retrospective method. Under this transition method, the new standard is applied from January 1, 2020 without restatement of comparative period amounts. The adoption of ASC 326 does not have a material impact on the Group and there was no impact of adopting ASC 326 on opening balances at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8" w:lineRule="exact"/>
        <w:rPr>
          <w:sz w:val="20"/>
          <w:szCs w:val="20"/>
          <w:color w:val="auto"/>
        </w:rPr>
      </w:pPr>
    </w:p>
    <w:p>
      <w:pPr>
        <w:jc w:val="both"/>
        <w:ind w:firstLine="207"/>
        <w:spacing w:after="0" w:line="25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2019. The consolidated financial statements have been prepared in accordance with accounting principles generally accepted in the United States.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29"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2020 we employed approximately 15,250 employees, in 94 locations in 40 countries. During the nine months ended September 30, 2020 we derived approximately 34.4%, 55.8% and 9.8% of our revenue in the United States, Europe and Rest of World respectively.</w:t>
      </w:r>
    </w:p>
    <w:p>
      <w:pPr>
        <w:spacing w:after="0" w:line="229" w:lineRule="exact"/>
        <w:rPr>
          <w:sz w:val="20"/>
          <w:szCs w:val="20"/>
          <w:color w:val="auto"/>
        </w:rPr>
      </w:pPr>
    </w:p>
    <w:p>
      <w:pPr>
        <w:jc w:val="both"/>
        <w:ind w:firstLine="237"/>
        <w:spacing w:after="0" w:line="251" w:lineRule="auto"/>
        <w:rPr>
          <w:sz w:val="20"/>
          <w:szCs w:val="20"/>
          <w:color w:val="auto"/>
        </w:rPr>
      </w:pPr>
      <w:r>
        <w:rPr>
          <w:rFonts w:ascii="Arial" w:cs="Arial" w:eastAsia="Arial" w:hAnsi="Arial"/>
          <w:sz w:val="16"/>
          <w:szCs w:val="16"/>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29" w:lineRule="exact"/>
        <w:rPr>
          <w:sz w:val="20"/>
          <w:szCs w:val="20"/>
          <w:color w:val="auto"/>
        </w:rPr>
      </w:pPr>
    </w:p>
    <w:p>
      <w:pPr>
        <w:jc w:val="both"/>
        <w:ind w:firstLine="231"/>
        <w:spacing w:after="0" w:line="25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30" w:lineRule="exact"/>
        <w:rPr>
          <w:sz w:val="20"/>
          <w:szCs w:val="20"/>
          <w:color w:val="auto"/>
        </w:rPr>
      </w:pPr>
    </w:p>
    <w:p>
      <w:pPr>
        <w:jc w:val="both"/>
        <w:ind w:firstLine="219"/>
        <w:spacing w:after="0" w:line="251" w:lineRule="auto"/>
        <w:rPr>
          <w:sz w:val="20"/>
          <w:szCs w:val="20"/>
          <w:color w:val="auto"/>
        </w:rPr>
      </w:pPr>
      <w:r>
        <w:rPr>
          <w:rFonts w:ascii="Arial" w:cs="Arial" w:eastAsia="Arial" w:hAnsi="Arial"/>
          <w:sz w:val="16"/>
          <w:szCs w:val="16"/>
          <w:color w:val="auto"/>
        </w:rPr>
        <w:t xml:space="preserve">Our unsatisfied performance obligation consists of potential revenue yet to be earned from projects awarded by clients. At September 30, 2020 we had unsatisfied performance obligations of approximately $6.1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 assets) and unearned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or payments on account (contract liabilities) </w:t>
      </w:r>
      <w:r>
        <w:rPr>
          <w:rFonts w:ascii="Arial" w:cs="Arial" w:eastAsia="Arial" w:hAnsi="Arial"/>
          <w:sz w:val="16"/>
          <w:szCs w:val="16"/>
          <w:color w:val="auto"/>
        </w:rPr>
        <w:t>for further details). We believe that our remaining or unrealized performance obligations as of any date</w:t>
      </w:r>
      <w:r>
        <w:rPr>
          <w:rFonts w:ascii="Arial" w:cs="Arial" w:eastAsia="Arial" w:hAnsi="Arial"/>
          <w:sz w:val="16"/>
          <w:szCs w:val="16"/>
          <w:i w:val="1"/>
          <w:iCs w:val="1"/>
          <w:color w:val="auto"/>
        </w:rPr>
        <w:t xml:space="preserve"> </w:t>
      </w:r>
      <w:r>
        <w:rPr>
          <w:rFonts w:ascii="Arial" w:cs="Arial" w:eastAsia="Arial" w:hAnsi="Arial"/>
          <w:sz w:val="16"/>
          <w:szCs w:val="16"/>
          <w:color w:val="auto"/>
        </w:rPr>
        <w:t>is not necessarily a meaningful predictor of future results, due to the potential for cancellation or delay of revenue.</w:t>
      </w:r>
    </w:p>
    <w:p>
      <w:pPr>
        <w:spacing w:after="0" w:line="229"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22" w:lineRule="exact"/>
        <w:rPr>
          <w:sz w:val="20"/>
          <w:szCs w:val="20"/>
          <w:color w:val="auto"/>
        </w:rPr>
      </w:pPr>
    </w:p>
    <w:p>
      <w:pPr>
        <w:jc w:val="both"/>
        <w:ind w:firstLine="218"/>
        <w:spacing w:after="0" w:line="248"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35" w:lineRule="exact"/>
        <w:rPr>
          <w:sz w:val="20"/>
          <w:szCs w:val="20"/>
          <w:color w:val="auto"/>
        </w:rPr>
      </w:pPr>
    </w:p>
    <w:p>
      <w:pPr>
        <w:jc w:val="both"/>
        <w:ind w:firstLine="209"/>
        <w:spacing w:after="0" w:line="253" w:lineRule="auto"/>
        <w:rPr>
          <w:sz w:val="20"/>
          <w:szCs w:val="20"/>
          <w:color w:val="auto"/>
        </w:rPr>
      </w:pPr>
      <w:r>
        <w:rPr>
          <w:rFonts w:ascii="Arial" w:cs="Arial" w:eastAsia="Arial" w:hAnsi="Arial"/>
          <w:sz w:val="16"/>
          <w:szCs w:val="16"/>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Operating Results</w:t>
      </w:r>
    </w:p>
    <w:p>
      <w:pPr>
        <w:spacing w:after="0" w:line="268" w:lineRule="exact"/>
        <w:rPr>
          <w:sz w:val="20"/>
          <w:szCs w:val="20"/>
          <w:color w:val="auto"/>
        </w:rPr>
      </w:pPr>
    </w:p>
    <w:p>
      <w:pPr>
        <w:ind w:right="20" w:firstLine="261"/>
        <w:spacing w:after="0" w:line="260"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33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2019</w:t>
            </w:r>
          </w:p>
        </w:tc>
        <w:tc>
          <w:tcPr>
            <w:tcW w:w="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 to 2020</w:t>
            </w:r>
          </w:p>
        </w:tc>
      </w:tr>
      <w:tr>
        <w:trPr>
          <w:trHeight w:val="198"/>
        </w:trPr>
        <w:tc>
          <w:tcPr>
            <w:tcW w:w="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Percentage of Revenue</w:t>
            </w:r>
          </w:p>
        </w:tc>
        <w:tc>
          <w:tcPr>
            <w:tcW w:w="20" w:type="dxa"/>
            <w:vAlign w:val="bottom"/>
            <w:shd w:val="clear" w:color="auto" w:fill="CCEEFF"/>
          </w:tcPr>
          <w:p>
            <w:pPr>
              <w:spacing w:after="0"/>
              <w:rPr>
                <w:sz w:val="17"/>
                <w:szCs w:val="17"/>
                <w:color w:val="auto"/>
              </w:rPr>
            </w:pPr>
          </w:p>
        </w:tc>
        <w:tc>
          <w:tcPr>
            <w:tcW w:w="1740" w:type="dxa"/>
            <w:vAlign w:val="bottom"/>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Percentage</w:t>
            </w:r>
          </w:p>
        </w:tc>
      </w:tr>
      <w:tr>
        <w:trPr>
          <w:trHeight w:val="189"/>
        </w:trPr>
        <w:tc>
          <w:tcPr>
            <w:tcW w:w="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Increase/</w:t>
            </w:r>
          </w:p>
        </w:tc>
      </w:tr>
      <w:tr>
        <w:trPr>
          <w:trHeight w:val="234"/>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740" w:type="dxa"/>
            <w:vAlign w:val="bottom"/>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(Decrease)</w:t>
            </w:r>
          </w:p>
        </w:tc>
      </w:tr>
      <w:tr>
        <w:trPr>
          <w:trHeight w:val="250"/>
        </w:trPr>
        <w:tc>
          <w:tcPr>
            <w:tcW w:w="20" w:type="dxa"/>
            <w:vAlign w:val="bottom"/>
            <w:tcBorders>
              <w:bottom w:val="single" w:sz="8" w:color="auto"/>
            </w:tcBorders>
          </w:tcPr>
          <w:p>
            <w:pPr>
              <w:spacing w:after="0"/>
              <w:rPr>
                <w:sz w:val="21"/>
                <w:szCs w:val="21"/>
                <w:color w:val="auto"/>
              </w:rPr>
            </w:pPr>
          </w:p>
        </w:tc>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Revenue</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5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6080" w:type="dxa"/>
            <w:vAlign w:val="bottom"/>
            <w:gridSpan w:val="2"/>
          </w:tcPr>
          <w:p>
            <w:pPr>
              <w:spacing w:after="0"/>
              <w:rPr>
                <w:sz w:val="20"/>
                <w:szCs w:val="20"/>
                <w:color w:val="auto"/>
              </w:rPr>
            </w:pPr>
            <w:r>
              <w:rPr>
                <w:rFonts w:ascii="Arial" w:cs="Arial" w:eastAsia="Arial" w:hAnsi="Arial"/>
                <w:sz w:val="16"/>
                <w:szCs w:val="16"/>
                <w:color w:val="auto"/>
              </w:rPr>
              <w:t>Costs and expenses:</w:t>
            </w:r>
          </w:p>
        </w:tc>
        <w:tc>
          <w:tcPr>
            <w:tcW w:w="1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4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Direct costs</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70.3 %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3"/>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6"/>
                <w:szCs w:val="16"/>
                <w:color w:val="auto"/>
              </w:rPr>
              <w:t>Selling, general and administrative</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11.8 %</w:t>
            </w:r>
          </w:p>
        </w:tc>
        <w:tc>
          <w:tcPr>
            <w:tcW w:w="1640" w:type="dxa"/>
            <w:vAlign w:val="bottom"/>
          </w:tcPr>
          <w:p>
            <w:pPr>
              <w:jc w:val="right"/>
              <w:spacing w:after="0"/>
              <w:rPr>
                <w:sz w:val="20"/>
                <w:szCs w:val="20"/>
                <w:color w:val="auto"/>
              </w:rPr>
            </w:pPr>
            <w:r>
              <w:rPr>
                <w:rFonts w:ascii="Arial" w:cs="Arial" w:eastAsia="Arial" w:hAnsi="Arial"/>
                <w:sz w:val="16"/>
                <w:szCs w:val="16"/>
                <w:color w:val="auto"/>
              </w:rPr>
              <w:t>12.0 %</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53"/>
        </w:trPr>
        <w:tc>
          <w:tcPr>
            <w:tcW w:w="20" w:type="dxa"/>
            <w:vAlign w:val="bottom"/>
            <w:shd w:val="clear" w:color="auto" w:fill="CCEEFF"/>
          </w:tcPr>
          <w:p>
            <w:pPr>
              <w:spacing w:after="0"/>
              <w:rPr>
                <w:sz w:val="21"/>
                <w:szCs w:val="21"/>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37"/>
        </w:trPr>
        <w:tc>
          <w:tcPr>
            <w:tcW w:w="2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Amortization</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0.8 %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28.6 %</w:t>
            </w:r>
          </w:p>
        </w:tc>
      </w:tr>
      <w:tr>
        <w:trPr>
          <w:trHeight w:val="243"/>
        </w:trPr>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5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36"/>
        </w:trPr>
        <w:tc>
          <w:tcPr>
            <w:tcW w:w="2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 from operations</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15.5 %</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w:t>
            </w:r>
          </w:p>
        </w:tc>
      </w:tr>
      <w:tr>
        <w:trPr>
          <w:trHeight w:val="27"/>
        </w:trPr>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344"/>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3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33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Borders>
              <w:bottom w:val="single" w:sz="8" w:color="auto"/>
            </w:tcBorders>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2019</w:t>
            </w:r>
          </w:p>
        </w:tc>
        <w:tc>
          <w:tcPr>
            <w:tcW w:w="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 to 2020</w:t>
            </w:r>
          </w:p>
        </w:tc>
      </w:tr>
      <w:tr>
        <w:trPr>
          <w:trHeight w:val="243"/>
        </w:trPr>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5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Percentage of Revenue</w:t>
            </w:r>
          </w:p>
        </w:tc>
        <w:tc>
          <w:tcPr>
            <w:tcW w:w="20" w:type="dxa"/>
            <w:vAlign w:val="bottom"/>
          </w:tcPr>
          <w:p>
            <w:pPr>
              <w:spacing w:after="0"/>
              <w:rPr>
                <w:sz w:val="17"/>
                <w:szCs w:val="17"/>
                <w:color w:val="auto"/>
              </w:rPr>
            </w:pP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rPr>
              <w:t>Percentage</w:t>
            </w:r>
          </w:p>
        </w:tc>
      </w:tr>
      <w:tr>
        <w:trPr>
          <w:trHeight w:val="224"/>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jc w:val="center"/>
              <w:ind w:left="39"/>
              <w:spacing w:after="0"/>
              <w:rPr>
                <w:sz w:val="20"/>
                <w:szCs w:val="20"/>
                <w:color w:val="auto"/>
              </w:rPr>
            </w:pPr>
            <w:r>
              <w:rPr>
                <w:rFonts w:ascii="Arial" w:cs="Arial" w:eastAsia="Arial" w:hAnsi="Arial"/>
                <w:sz w:val="16"/>
                <w:szCs w:val="16"/>
                <w:b w:val="1"/>
                <w:bCs w:val="1"/>
                <w:color w:val="auto"/>
              </w:rPr>
              <w:t>Increase/ (Decrease)</w:t>
            </w:r>
          </w:p>
        </w:tc>
      </w:tr>
      <w:tr>
        <w:trPr>
          <w:trHeight w:val="260"/>
        </w:trPr>
        <w:tc>
          <w:tcPr>
            <w:tcW w:w="20" w:type="dxa"/>
            <w:vAlign w:val="bottom"/>
            <w:tcBorders>
              <w:bottom w:val="single" w:sz="8" w:color="auto"/>
            </w:tcBorders>
            <w:shd w:val="clear" w:color="auto" w:fill="CCEEFF"/>
          </w:tcPr>
          <w:p>
            <w:pPr>
              <w:spacing w:after="0"/>
              <w:rPr>
                <w:sz w:val="22"/>
                <w:szCs w:val="22"/>
                <w:color w:val="auto"/>
              </w:rPr>
            </w:pPr>
          </w:p>
        </w:tc>
        <w:tc>
          <w:tcPr>
            <w:tcW w:w="6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45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70.9 %</w:t>
            </w:r>
          </w:p>
        </w:tc>
        <w:tc>
          <w:tcPr>
            <w:tcW w:w="1640" w:type="dxa"/>
            <w:vAlign w:val="bottom"/>
          </w:tcPr>
          <w:p>
            <w:pPr>
              <w:jc w:val="right"/>
              <w:spacing w:after="0"/>
              <w:rPr>
                <w:sz w:val="20"/>
                <w:szCs w:val="20"/>
                <w:color w:val="auto"/>
              </w:rPr>
            </w:pPr>
            <w:r>
              <w:rPr>
                <w:rFonts w:ascii="Arial" w:cs="Arial" w:eastAsia="Arial" w:hAnsi="Arial"/>
                <w:sz w:val="16"/>
                <w:szCs w:val="16"/>
                <w:color w:val="auto"/>
              </w:rPr>
              <w:t>70.5 %</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53"/>
        </w:trPr>
        <w:tc>
          <w:tcPr>
            <w:tcW w:w="20" w:type="dxa"/>
            <w:vAlign w:val="bottom"/>
            <w:shd w:val="clear" w:color="auto" w:fill="CCEEFF"/>
          </w:tcPr>
          <w:p>
            <w:pPr>
              <w:spacing w:after="0"/>
              <w:rPr>
                <w:sz w:val="21"/>
                <w:szCs w:val="21"/>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33"/>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1.7 %</w:t>
            </w:r>
          </w:p>
        </w:tc>
        <w:tc>
          <w:tcPr>
            <w:tcW w:w="1640" w:type="dxa"/>
            <w:vAlign w:val="bottom"/>
          </w:tcPr>
          <w:p>
            <w:pPr>
              <w:jc w:val="right"/>
              <w:spacing w:after="0"/>
              <w:rPr>
                <w:sz w:val="20"/>
                <w:szCs w:val="20"/>
                <w:color w:val="auto"/>
              </w:rPr>
            </w:pPr>
            <w:r>
              <w:rPr>
                <w:rFonts w:ascii="Arial" w:cs="Arial" w:eastAsia="Arial" w:hAnsi="Arial"/>
                <w:sz w:val="16"/>
                <w:szCs w:val="16"/>
                <w:color w:val="auto"/>
              </w:rPr>
              <w:t>1.6 %</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53"/>
        </w:trPr>
        <w:tc>
          <w:tcPr>
            <w:tcW w:w="20" w:type="dxa"/>
            <w:vAlign w:val="bottom"/>
            <w:shd w:val="clear" w:color="auto" w:fill="CCEEFF"/>
          </w:tcPr>
          <w:p>
            <w:pPr>
              <w:spacing w:after="0"/>
              <w:rPr>
                <w:sz w:val="21"/>
                <w:szCs w:val="21"/>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24.7 %</w:t>
            </w:r>
          </w:p>
        </w:tc>
      </w:tr>
      <w:tr>
        <w:trPr>
          <w:trHeight w:val="250"/>
        </w:trPr>
        <w:tc>
          <w:tcPr>
            <w:tcW w:w="20" w:type="dxa"/>
            <w:vAlign w:val="bottom"/>
            <w:tcBorders>
              <w:bottom w:val="single" w:sz="8" w:color="auto"/>
            </w:tcBorders>
          </w:tcPr>
          <w:p>
            <w:pPr>
              <w:spacing w:after="0"/>
              <w:rPr>
                <w:sz w:val="21"/>
                <w:szCs w:val="21"/>
                <w:color w:val="auto"/>
              </w:rPr>
            </w:pPr>
          </w:p>
        </w:tc>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Restructuring</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100.0 %</w:t>
            </w:r>
          </w:p>
        </w:tc>
      </w:tr>
      <w:tr>
        <w:trPr>
          <w:trHeight w:val="243"/>
        </w:trPr>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5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 from operations</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15.3 %</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(14.6)%</w:t>
            </w:r>
          </w:p>
        </w:tc>
      </w:tr>
      <w:tr>
        <w:trPr>
          <w:trHeight w:val="27"/>
        </w:trPr>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Revenue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300" w:type="dxa"/>
            <w:vAlign w:val="bottom"/>
            <w:shd w:val="clear" w:color="auto" w:fill="CCEEFF"/>
          </w:tcPr>
          <w:p>
            <w:pPr>
              <w:jc w:val="center"/>
              <w:ind w:left="17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8"/>
        </w:trPr>
        <w:tc>
          <w:tcPr>
            <w:tcW w:w="35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shd w:val="clear" w:color="auto" w:fill="CCEEFF"/>
          </w:tcPr>
          <w:p>
            <w:pPr>
              <w:spacing w:after="0"/>
              <w:rPr>
                <w:sz w:val="19"/>
                <w:szCs w:val="19"/>
                <w:color w:val="auto"/>
              </w:rPr>
            </w:pPr>
          </w:p>
        </w:tc>
      </w:tr>
      <w:tr>
        <w:trPr>
          <w:trHeight w:val="237"/>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701,729 $</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710,441</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(8,712)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bl>
    <w:p>
      <w:pPr>
        <w:spacing w:after="0" w:line="3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Revenue for the three months ended September 30, 2020 decreased by $8.7 million, or 1.2%, to $701.7 million, compared to $710.4 million for the three months ended September 30, 2019. Revenue decreased by 1.9% in constant currency and decreased by 3.5% in constant dollar organic terms. The decrease in revenues in the nine months ended September 30, 2020 is due to the impact the COVID-19 global pandemic has had on operations including; our ability to ensure laboratory samples are collected and analyzed on time, our ability to perform on-site monitoring of clinical trials, the ability of patients or other service providers to travel, and our ability to travel.</w:t>
      </w:r>
    </w:p>
    <w:p>
      <w:pPr>
        <w:spacing w:after="0" w:line="230" w:lineRule="exact"/>
        <w:rPr>
          <w:sz w:val="20"/>
          <w:szCs w:val="20"/>
          <w:color w:val="auto"/>
        </w:rPr>
      </w:pPr>
    </w:p>
    <w:p>
      <w:pPr>
        <w:jc w:val="both"/>
        <w:ind w:firstLine="193"/>
        <w:spacing w:after="0" w:line="251" w:lineRule="auto"/>
        <w:rPr>
          <w:sz w:val="20"/>
          <w:szCs w:val="20"/>
          <w:color w:val="auto"/>
        </w:rPr>
      </w:pPr>
      <w:r>
        <w:rPr>
          <w:rFonts w:ascii="Arial" w:cs="Arial" w:eastAsia="Arial" w:hAnsi="Arial"/>
          <w:sz w:val="16"/>
          <w:szCs w:val="16"/>
          <w:color w:val="auto"/>
        </w:rPr>
        <w:t>During the three months ended September 30, 2020 we derived approximately 40.7%, 50.0% and 9.3% of our revenue in the United States, Europe and Rest of World respectively. During the three months ended September 30, 2020, $269.5 million or 38.4% of our revenues were derived from our top 5 customers. Revenue from our largest customer contributed 12.4% of revenue for the quarter. New customer accounts are continually added, particularly from mid-tier pharma customers and biotech customers, which over time will result in a reduction in concentration of revenues from our top 5 customers.</w:t>
      </w:r>
    </w:p>
    <w:p>
      <w:pPr>
        <w:spacing w:after="0" w:line="229" w:lineRule="exact"/>
        <w:rPr>
          <w:sz w:val="20"/>
          <w:szCs w:val="20"/>
          <w:color w:val="auto"/>
        </w:rPr>
      </w:pPr>
    </w:p>
    <w:p>
      <w:pPr>
        <w:jc w:val="both"/>
        <w:ind w:firstLine="207"/>
        <w:spacing w:after="0" w:line="250" w:lineRule="auto"/>
        <w:rPr>
          <w:sz w:val="20"/>
          <w:szCs w:val="20"/>
          <w:color w:val="auto"/>
        </w:rPr>
      </w:pPr>
      <w:r>
        <w:rPr>
          <w:rFonts w:ascii="Arial" w:cs="Arial" w:eastAsia="Arial" w:hAnsi="Arial"/>
          <w:sz w:val="16"/>
          <w:szCs w:val="16"/>
          <w:color w:val="auto"/>
        </w:rPr>
        <w:t xml:space="preserve">Revenue in Ireland for the three months ended September 30, 2020 decreased to $250.2 million compared to $320.5 million for the three months ended September 30, 2019. Revenue in Ireland is principally a function of the Company’s global transfer pricing model (see </w:t>
      </w:r>
      <w:r>
        <w:rPr>
          <w:rFonts w:ascii="Arial" w:cs="Arial" w:eastAsia="Arial" w:hAnsi="Arial"/>
          <w:sz w:val="16"/>
          <w:szCs w:val="16"/>
          <w:i w:val="1"/>
          <w:iCs w:val="1"/>
          <w:color w:val="auto"/>
        </w:rPr>
        <w:t>note 14 -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 Revenue in our Rest of Europe region increased to $100.6 million compared to $98.1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Revenue in the Rest of World region decreased to $65.3 million compared to $68.0 million for the three months ended September 30, 2019. Revenue in the U.S. region increased to $285.6 million from $223.9 million for the three months ended September 30, 2019.</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20" w:type="dxa"/>
            <w:vAlign w:val="bottom"/>
            <w:shd w:val="clear" w:color="auto" w:fill="CCEEFF"/>
          </w:tcPr>
          <w:p>
            <w:pPr>
              <w:jc w:val="center"/>
              <w:ind w:left="299"/>
              <w:spacing w:after="0"/>
              <w:rPr>
                <w:sz w:val="20"/>
                <w:szCs w:val="20"/>
                <w:color w:val="auto"/>
              </w:rPr>
            </w:pPr>
            <w:r>
              <w:rPr>
                <w:rFonts w:ascii="Arial" w:cs="Arial" w:eastAsia="Arial" w:hAnsi="Arial"/>
                <w:sz w:val="16"/>
                <w:szCs w:val="16"/>
                <w:b w:val="1"/>
                <w:bCs w:val="1"/>
                <w:color w:val="auto"/>
              </w:rPr>
              <w:t>Nine Months Ended</w:t>
            </w: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8"/>
        </w:trPr>
        <w:tc>
          <w:tcPr>
            <w:tcW w:w="35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center"/>
              <w:ind w:left="27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shd w:val="clear" w:color="auto" w:fill="CCEEFF"/>
          </w:tcPr>
          <w:p>
            <w:pPr>
              <w:spacing w:after="0"/>
              <w:rPr>
                <w:sz w:val="19"/>
                <w:szCs w:val="19"/>
                <w:color w:val="auto"/>
              </w:rPr>
            </w:pPr>
          </w:p>
        </w:tc>
      </w:tr>
      <w:tr>
        <w:trPr>
          <w:trHeight w:val="23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22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2,037,059 $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2,080,430</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(43,371)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bl>
    <w:p>
      <w:pPr>
        <w:spacing w:after="0" w:line="245" w:lineRule="exact"/>
        <w:rPr>
          <w:sz w:val="20"/>
          <w:szCs w:val="20"/>
          <w:color w:val="auto"/>
        </w:rPr>
      </w:pPr>
    </w:p>
    <w:p>
      <w:pPr>
        <w:jc w:val="both"/>
        <w:ind w:firstLine="220"/>
        <w:spacing w:after="0" w:line="250" w:lineRule="auto"/>
        <w:rPr>
          <w:sz w:val="20"/>
          <w:szCs w:val="20"/>
          <w:color w:val="auto"/>
        </w:rPr>
      </w:pPr>
      <w:r>
        <w:rPr>
          <w:rFonts w:ascii="Arial" w:cs="Arial" w:eastAsia="Arial" w:hAnsi="Arial"/>
          <w:sz w:val="16"/>
          <w:szCs w:val="16"/>
          <w:color w:val="auto"/>
        </w:rPr>
        <w:t>Revenue for the nine months ended September 30, 2020 decreased by $43.4 million, or 2.1%, to $2,037.1 million compared to $2,080.4 million for the nine months ended September 30, 2019. Revenue decreased by 2.0% in constant currency and decreased by 3.4% in constant dollar organic terms. The decrease in revenues in the nine months ended September 30, 2020 is due to the impact the COVID-19 global pandemic has had on operations including; our ability to ensure laboratory samples are collected and analyzed on time, our ability to perform on-site monitoring of clinical trials, the ability of patients or other service providers to travel, and our ability to travel.</w:t>
      </w:r>
    </w:p>
    <w:p>
      <w:pPr>
        <w:spacing w:after="0" w:line="230" w:lineRule="exact"/>
        <w:rPr>
          <w:sz w:val="20"/>
          <w:szCs w:val="20"/>
          <w:color w:val="auto"/>
        </w:rPr>
      </w:pPr>
    </w:p>
    <w:p>
      <w:pPr>
        <w:jc w:val="both"/>
        <w:ind w:firstLine="207"/>
        <w:spacing w:after="0" w:line="250" w:lineRule="auto"/>
        <w:rPr>
          <w:sz w:val="20"/>
          <w:szCs w:val="20"/>
          <w:color w:val="auto"/>
        </w:rPr>
      </w:pPr>
      <w:r>
        <w:rPr>
          <w:rFonts w:ascii="Arial" w:cs="Arial" w:eastAsia="Arial" w:hAnsi="Arial"/>
          <w:sz w:val="16"/>
          <w:szCs w:val="16"/>
          <w:color w:val="auto"/>
        </w:rPr>
        <w:t>During the nine months ended September 30, 2020 we derived approximately 34.4%, 55.8% and 9.8% of our revenue in the United States, Europe and Rest of World respectively. During the nine months ended September 30, 2020, $802.5 million or 39.4% of our revenues were derived from our top 5 customers. The largest of these customers related to a strategic partnership with a large global pharmaceutical company. Revenue from this customer contributed 11.5% of revenue for the nine months ended September 30, 2020. Revenue from our second largest customer contributed 10.7% for the for the nine months ended September 30, 2020. New customer accounts are continually added, particularly from mid-tier pharma customers and biotech customers.</w:t>
      </w:r>
    </w:p>
    <w:p>
      <w:pPr>
        <w:spacing w:after="0" w:line="230" w:lineRule="exact"/>
        <w:rPr>
          <w:sz w:val="20"/>
          <w:szCs w:val="20"/>
          <w:color w:val="auto"/>
        </w:rPr>
      </w:pPr>
    </w:p>
    <w:p>
      <w:pPr>
        <w:jc w:val="both"/>
        <w:ind w:firstLine="225"/>
        <w:spacing w:after="0" w:line="250" w:lineRule="auto"/>
        <w:rPr>
          <w:sz w:val="20"/>
          <w:szCs w:val="20"/>
          <w:color w:val="auto"/>
        </w:rPr>
      </w:pPr>
      <w:r>
        <w:rPr>
          <w:rFonts w:ascii="Arial" w:cs="Arial" w:eastAsia="Arial" w:hAnsi="Arial"/>
          <w:sz w:val="16"/>
          <w:szCs w:val="16"/>
          <w:color w:val="auto"/>
        </w:rPr>
        <w:t xml:space="preserve">Revenue in Ireland for the nine months ended September 30, 2020 decreased to $844.9 million compared to $929.4 million for the nine months ended September 30, 2019. Revenue in Ireland is principally a function of the Company’s global transfer pricing model (see </w:t>
      </w:r>
      <w:r>
        <w:rPr>
          <w:rFonts w:ascii="Arial" w:cs="Arial" w:eastAsia="Arial" w:hAnsi="Arial"/>
          <w:sz w:val="16"/>
          <w:szCs w:val="16"/>
          <w:i w:val="1"/>
          <w:iCs w:val="1"/>
          <w:color w:val="auto"/>
        </w:rPr>
        <w:t>note 14 -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 Revenue in our Rest of Europe region increased to $292.5 million compared to $282.7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Revenue in the Rest of World region decreased to $199.2 million compared to $203.5 million for the nine months ended September 30, 2019. Revenue in the U.S. region increased to $700.5 million from $664.8 million for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780" w:type="dxa"/>
            <w:vAlign w:val="bottom"/>
            <w:gridSpan w:val="4"/>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Nine Months Ended</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8"/>
        </w:trPr>
        <w:tc>
          <w:tcPr>
            <w:tcW w:w="2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37"/>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4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493,410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499,791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(6,381)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1,444,536</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1,465,944</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(21,408)</w:t>
            </w:r>
          </w:p>
        </w:tc>
      </w:tr>
      <w:tr>
        <w:trPr>
          <w:trHeight w:val="224"/>
        </w:trPr>
        <w:tc>
          <w:tcPr>
            <w:tcW w:w="26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70.3 %</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70.3 %</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70.9 %</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70.5 %</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359" w:lineRule="exact"/>
        <w:rPr>
          <w:sz w:val="20"/>
          <w:szCs w:val="20"/>
          <w:color w:val="auto"/>
        </w:rPr>
      </w:pPr>
    </w:p>
    <w:p>
      <w:pPr>
        <w:jc w:val="both"/>
        <w:ind w:firstLine="261"/>
        <w:spacing w:after="0" w:line="249" w:lineRule="auto"/>
        <w:rPr>
          <w:sz w:val="20"/>
          <w:szCs w:val="20"/>
          <w:color w:val="auto"/>
        </w:rPr>
      </w:pPr>
      <w:r>
        <w:rPr>
          <w:rFonts w:ascii="Arial" w:cs="Arial" w:eastAsia="Arial" w:hAnsi="Arial"/>
          <w:sz w:val="16"/>
          <w:szCs w:val="16"/>
          <w:color w:val="auto"/>
        </w:rPr>
        <w:t>Direct costs consist primarily of investigator and other reimbursable costs, compensation, associated fringe benefits and share based compensation expense for project-related employees and other direct project driven costs. Direct costs for the three months ended September 30, 2020 decreased by $6.4 million, or 1.3%, to $493.4 million compared to $499.8 million for the three months ended September 30, 2019. The decrease in direct costs relates to a decrease in third party investigator and other reimbursable costs which was partly off set by an increase in direct project related costs, an increase in personnel related expenditure and an increase in laboratory costs during the period. As a percentage of revenue, direct costs were 70.3% which is consistent with the three months ended September 30, 2019.</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Direct costs for the nine months ended September 30, 2020 decreased by $21.4 million, or 1.5%, to $1,444.5 million compared to $1,465.9 million for the nine months ended September 30, 2019. The decrease in direct costs relates to decreases in third party investigator and other reimbursable costs which was partly offset by an increase in direct project related costs, an increase in personnel related expenditure and an increase in laboratory costs during the period. As a percentage of revenue, direct costs increased to 70.9% compared to 70.5% for the nine months ended September 30,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560" w:type="dxa"/>
            <w:vAlign w:val="bottom"/>
            <w:gridSpan w:val="4"/>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8"/>
        </w:trPr>
        <w:tc>
          <w:tcPr>
            <w:tcW w:w="3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r>
      <w:tr>
        <w:trPr>
          <w:trHeight w:val="237"/>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4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   $</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83,117</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85,449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(2,332)</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253,812</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250,564</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3,248</w:t>
            </w:r>
          </w:p>
        </w:tc>
      </w:tr>
      <w:tr>
        <w:trPr>
          <w:trHeight w:val="22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 of revenue</w:t>
            </w:r>
          </w:p>
        </w:tc>
        <w:tc>
          <w:tcPr>
            <w:tcW w:w="940" w:type="dxa"/>
            <w:vAlign w:val="bottom"/>
          </w:tcPr>
          <w:p>
            <w:pPr>
              <w:jc w:val="right"/>
              <w:spacing w:after="0"/>
              <w:rPr>
                <w:sz w:val="20"/>
                <w:szCs w:val="20"/>
                <w:color w:val="auto"/>
              </w:rPr>
            </w:pPr>
            <w:r>
              <w:rPr>
                <w:rFonts w:ascii="Arial" w:cs="Arial" w:eastAsia="Arial" w:hAnsi="Arial"/>
                <w:sz w:val="16"/>
                <w:szCs w:val="16"/>
                <w:color w:val="auto"/>
              </w:rPr>
              <w:t>11.8 %</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12.0 %</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12.5 %</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12.0 %</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1.3 %</w:t>
            </w:r>
          </w:p>
        </w:tc>
      </w:tr>
    </w:tbl>
    <w:p>
      <w:pPr>
        <w:spacing w:after="0" w:line="3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Selling, general and administrative expenses for the three months ended September 30, 2020 decreased by $2.3 million, or 2.7%, to $83.1 million, compared to $85.4 million for the three months ended September 30, 2019. As a percentage of revenue, selling, general and administrative expenses decreased to 11.8% compared to 12.0% for the three months ended September 30, 2019.</w:t>
      </w:r>
    </w:p>
    <w:p>
      <w:pPr>
        <w:spacing w:after="0" w:line="2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Selling, general and administrative expenses for the nine months ended September 30, 2020 increased by $3.2 million, or 1.3%, to $253.8 million, compared to $250.6 million for the nine months ended September 30, 2019. As a percentage of revenue, selling, general and administrative expenses increased to 12.5% compared to 12.0% for the nine months ended September 30,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2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20" w:type="dxa"/>
            <w:vAlign w:val="bottom"/>
            <w:gridSpan w:val="4"/>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Nine Months Ended</w:t>
            </w:r>
          </w:p>
        </w:tc>
        <w:tc>
          <w:tcPr>
            <w:tcW w:w="940" w:type="dxa"/>
            <w:vAlign w:val="bottom"/>
            <w:shd w:val="clear" w:color="auto" w:fill="CCEEFF"/>
          </w:tcPr>
          <w:p>
            <w:pPr>
              <w:spacing w:after="0"/>
              <w:rPr>
                <w:sz w:val="17"/>
                <w:szCs w:val="17"/>
                <w:color w:val="auto"/>
              </w:rPr>
            </w:pPr>
          </w:p>
        </w:tc>
      </w:tr>
      <w:tr>
        <w:trPr>
          <w:trHeight w:val="234"/>
        </w:trPr>
        <w:tc>
          <w:tcPr>
            <w:tcW w:w="2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7"/>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11,355</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556</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34,553</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34,271</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282</w:t>
            </w:r>
          </w:p>
        </w:tc>
      </w:tr>
      <w:tr>
        <w:trPr>
          <w:trHeight w:val="233"/>
        </w:trPr>
        <w:tc>
          <w:tcPr>
            <w:tcW w:w="29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1.6 %</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4.9 %</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1.6 %</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5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4,890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3,802</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1,088</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14,428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11,571</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2,857</w:t>
            </w:r>
          </w:p>
        </w:tc>
      </w:tr>
      <w:tr>
        <w:trPr>
          <w:trHeight w:val="224"/>
        </w:trPr>
        <w:tc>
          <w:tcPr>
            <w:tcW w:w="29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0.6 %</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28.6 %</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0.6 %</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p>
      <w:pPr>
        <w:jc w:val="both"/>
        <w:ind w:firstLine="207"/>
        <w:spacing w:after="0" w:line="249" w:lineRule="auto"/>
        <w:rPr>
          <w:sz w:val="20"/>
          <w:szCs w:val="20"/>
          <w:color w:val="auto"/>
        </w:rPr>
      </w:pPr>
      <w:r>
        <w:rPr>
          <w:rFonts w:ascii="Arial" w:cs="Arial" w:eastAsia="Arial" w:hAnsi="Arial"/>
          <w:sz w:val="16"/>
          <w:szCs w:val="16"/>
          <w:color w:val="auto"/>
        </w:rPr>
        <w:t>Depreciation expense arises principally from investment in facilities, information systems and equipment to support the Company’s growth. Depreciation expense for the three months ended September 30, 2020 increased by $0.6 million, or 4.9%, to $11.9 million compared to $11.4 million for the three months ended September 30, 2019. As a percentage of revenue the depreciation expense increased to 1.7%, compared to 1.6% for the three months ended September 30, 2019. Depreciation expense for the nine months ended September 30, 2020 increased by $0.3 million, or 0.8%, to $34.6 million compared to $34.3 million for the nine months ended September 30, 2019. As a percentage of revenue the depreciation expense was 1.7% compared to 1.6% for the nine months ended September 30, 2019.</w:t>
      </w:r>
    </w:p>
    <w:p>
      <w:pPr>
        <w:spacing w:after="0" w:line="2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Amortization expense represents the amortization of intangible assets acquired on business combinations. Amortization on intangibles for the three months ended September 30, 2020 increased by $1.1 million, or 28.6%, to $4.9 million compared to $3.8 million for the three months ended September 30, 2019. As a percentage of revenue, amortization expense increased to 0.8%, compared to 0.6% for the three months ended September 30, 2019. Amortization on intangibles for the nine months ended September 30, 2020 increased by $2.9 million, or 24.7%, to $14.4 million compared to $11.6 million for the nine months ended September 30, 2019. The increase in the amortization expense for the nine months ended September 30, 2020 was driven by new acquisitions over the last year. As a percentage of revenue, amortization expense increased to 0.7% compared to 0.6% for the nine months ended September 30,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90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6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Nine Months Ended</w:t>
            </w:r>
          </w:p>
        </w:tc>
        <w:tc>
          <w:tcPr>
            <w:tcW w:w="1060" w:type="dxa"/>
            <w:vAlign w:val="bottom"/>
            <w:shd w:val="clear" w:color="auto" w:fill="CCEEFF"/>
          </w:tcPr>
          <w:p>
            <w:pPr>
              <w:spacing w:after="0"/>
              <w:rPr>
                <w:sz w:val="17"/>
                <w:szCs w:val="17"/>
                <w:color w:val="auto"/>
              </w:rPr>
            </w:pPr>
          </w:p>
        </w:tc>
      </w:tr>
      <w:tr>
        <w:trPr>
          <w:trHeight w:val="228"/>
        </w:trPr>
        <w:tc>
          <w:tcPr>
            <w:tcW w:w="26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37"/>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4"/>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 (incl.</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108,401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110,044</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(1,643)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271,641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318,080</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(46,439)</w:t>
            </w:r>
          </w:p>
        </w:tc>
      </w:tr>
      <w:tr>
        <w:trPr>
          <w:trHeight w:val="233"/>
        </w:trPr>
        <w:tc>
          <w:tcPr>
            <w:tcW w:w="26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15.4 %</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15.5 %</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13.3 %</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15.3 %</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28"/>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 (excl.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108,401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110,044</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(1,643)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289,730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318,080</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(28,350)</w:t>
            </w:r>
          </w:p>
        </w:tc>
      </w:tr>
      <w:tr>
        <w:trPr>
          <w:trHeight w:val="223"/>
        </w:trPr>
        <w:tc>
          <w:tcPr>
            <w:tcW w:w="26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15.4 %</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15.5 %</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14.2 %</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15.3 %</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r>
    </w:tbl>
    <w:p>
      <w:pPr>
        <w:spacing w:after="0" w:line="345" w:lineRule="exact"/>
        <w:rPr>
          <w:sz w:val="20"/>
          <w:szCs w:val="20"/>
          <w:color w:val="auto"/>
        </w:rPr>
      </w:pPr>
    </w:p>
    <w:p>
      <w:pPr>
        <w:jc w:val="both"/>
        <w:ind w:firstLine="207"/>
        <w:spacing w:after="0" w:line="253" w:lineRule="auto"/>
        <w:rPr>
          <w:sz w:val="20"/>
          <w:szCs w:val="20"/>
          <w:color w:val="auto"/>
        </w:rPr>
      </w:pPr>
      <w:r>
        <w:rPr>
          <w:rFonts w:ascii="Arial" w:cs="Arial" w:eastAsia="Arial" w:hAnsi="Arial"/>
          <w:sz w:val="16"/>
          <w:szCs w:val="16"/>
          <w:color w:val="auto"/>
        </w:rPr>
        <w:t>Income from operations for the three months ended September 30, 2020 decreased by $1.6 million, or 1.5%, to $108.4 million ($108.4 million excluding restructuring) compared to $110.0 million for the three months ended September 30, 2019. As a percentage of revenue, income from operations decreased to 15.4% (15.4% excluding restructuring) compared to 15.5% of revenue for the three months ended September 30, 2019.</w:t>
      </w:r>
    </w:p>
    <w:p>
      <w:pPr>
        <w:spacing w:after="0" w:line="22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Income from operations for the nine months ended September 30, 2020 decreased by $46.4 million, or 14.6%, to $271.6 million ($289.7 million excluding restructuring) compared to $318.1 million for the nine months ended September 30, 2019. As a percentage of revenue, income from operations decreased to 13.3% (14.2% excluding restructuring), compared to 15.3% of revenue for the nine months ended September 30, 2019.</w:t>
      </w:r>
    </w:p>
    <w:p>
      <w:pPr>
        <w:spacing w:after="0" w:line="228" w:lineRule="exact"/>
        <w:rPr>
          <w:sz w:val="20"/>
          <w:szCs w:val="20"/>
          <w:color w:val="auto"/>
        </w:rPr>
      </w:pPr>
    </w:p>
    <w:p>
      <w:pPr>
        <w:jc w:val="both"/>
        <w:ind w:firstLine="194"/>
        <w:spacing w:after="0" w:line="250" w:lineRule="auto"/>
        <w:rPr>
          <w:sz w:val="20"/>
          <w:szCs w:val="20"/>
          <w:color w:val="auto"/>
        </w:rPr>
      </w:pPr>
      <w:r>
        <w:rPr>
          <w:rFonts w:ascii="Arial" w:cs="Arial" w:eastAsia="Arial" w:hAnsi="Arial"/>
          <w:sz w:val="16"/>
          <w:szCs w:val="16"/>
          <w:color w:val="auto"/>
        </w:rPr>
        <w:t xml:space="preserve">Income from operations in Ireland decreased to a profit of $81.8 million ($81.8 million excluding restructuring) compared to a profit of $82.5 million ($82.5 million excluding restructuring) for the three months ended September 30, 2019. Income from operations in Ireland decreased to a profit of $194.4 million ($212.5 million excluding restructuring) compared to a profit of $231.2 million ($231.2 million excluding restructuring) for the nine months ended September 30, 2019. Income from operations in Ireland is impacted by the Group’s global transfer pricing model </w:t>
      </w:r>
      <w:r>
        <w:rPr>
          <w:rFonts w:ascii="Arial" w:cs="Arial" w:eastAsia="Arial" w:hAnsi="Arial"/>
          <w:sz w:val="16"/>
          <w:szCs w:val="16"/>
          <w:i w:val="1"/>
          <w:iCs w:val="1"/>
          <w:color w:val="auto"/>
        </w:rPr>
        <w:t>(see note 14 -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w:t>
      </w:r>
      <w:r>
        <w:rPr>
          <w:rFonts w:ascii="Arial" w:cs="Arial" w:eastAsia="Arial" w:hAnsi="Arial"/>
          <w:sz w:val="16"/>
          <w:szCs w:val="16"/>
          <w:i w:val="1"/>
          <w:iCs w:val="1"/>
          <w:color w:val="auto"/>
        </w:rPr>
        <w:t>.</w:t>
      </w:r>
    </w:p>
    <w:p>
      <w:pPr>
        <w:spacing w:after="0" w:line="2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Income from operations in our Rest of Europe region decreased to $4.7 million compared to $10.2 million for the three months ended September 30, 2019. Income from operations in our Rest of Europe region increased to $22.5 million compared to $21.7 million for the nine months ended September 30, 2019.</w:t>
      </w:r>
    </w:p>
    <w:p>
      <w:pPr>
        <w:spacing w:after="0" w:line="22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Income from operations in our Rest of World region increased to $7.5 million compared to $5.3 million for the three months ended September 30, 2019. Income from operations in our Rest of World region decreased to $17.1 million compared to $19.7 million for the nine months ended September 30, 2019.</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 the U.S. region increased to $14.4 million compared to $12.0 million for the three months ended September 30,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in the U.S. region decreased to $37.7 million compared to $45.4 million for the nine months ended September 30, 2019.</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8"/>
        </w:trPr>
        <w:tc>
          <w:tcPr>
            <w:tcW w:w="2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gridSpan w:val="3"/>
            <w:shd w:val="clear" w:color="auto" w:fill="CCEEFF"/>
          </w:tcPr>
          <w:p>
            <w:pPr>
              <w:ind w:left="34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w w:val="98"/>
              </w:rPr>
              <w:t>September 30,</w:t>
            </w:r>
          </w:p>
        </w:tc>
        <w:tc>
          <w:tcPr>
            <w:tcW w:w="5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shd w:val="clear" w:color="auto" w:fill="CCEEFF"/>
          </w:tcPr>
          <w:p>
            <w:pPr>
              <w:spacing w:after="0"/>
              <w:rPr>
                <w:sz w:val="19"/>
                <w:szCs w:val="19"/>
                <w:color w:val="auto"/>
              </w:rPr>
            </w:pPr>
          </w:p>
        </w:tc>
      </w:tr>
      <w:tr>
        <w:trPr>
          <w:trHeight w:val="237"/>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4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268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(1,584)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5,377</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(2,859)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23"/>
        </w:trPr>
        <w:tc>
          <w:tcPr>
            <w:tcW w:w="2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340"/>
              <w:spacing w:after="0"/>
              <w:rPr>
                <w:sz w:val="20"/>
                <w:szCs w:val="20"/>
                <w:color w:val="auto"/>
              </w:rPr>
            </w:pPr>
            <w:r>
              <w:rPr>
                <w:rFonts w:ascii="Arial" w:cs="Arial" w:eastAsia="Arial" w:hAnsi="Arial"/>
                <w:sz w:val="16"/>
                <w:szCs w:val="16"/>
                <w:color w:val="auto"/>
              </w:rPr>
              <w:t>(3,239)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(3,393)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59"/>
              <w:spacing w:after="0"/>
              <w:rPr>
                <w:sz w:val="20"/>
                <w:szCs w:val="20"/>
                <w:color w:val="auto"/>
              </w:rPr>
            </w:pPr>
            <w:r>
              <w:rPr>
                <w:rFonts w:ascii="Arial" w:cs="Arial" w:eastAsia="Arial" w:hAnsi="Arial"/>
                <w:sz w:val="16"/>
                <w:szCs w:val="16"/>
                <w:color w:val="auto"/>
              </w:rPr>
              <w:t>154</w:t>
            </w: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ind w:left="340"/>
              <w:spacing w:after="0"/>
              <w:rPr>
                <w:sz w:val="20"/>
                <w:szCs w:val="20"/>
                <w:color w:val="auto"/>
              </w:rPr>
            </w:pPr>
            <w:r>
              <w:rPr>
                <w:rFonts w:ascii="Arial" w:cs="Arial" w:eastAsia="Arial" w:hAnsi="Arial"/>
                <w:sz w:val="16"/>
                <w:szCs w:val="16"/>
                <w:color w:val="auto"/>
              </w:rPr>
              <w:t>(9,640)</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(9,946)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306</w:t>
            </w: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r>
    </w:tbl>
    <w:p>
      <w:pPr>
        <w:spacing w:after="0" w:line="3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Interest income for the three months ended September 30, 2020 decreased to $0.3 million, compared to $1.9 million for the three months ended September 30, 2019. Interest income for the nine months ended September 30, 2020 decreased to $2.5 million, compared to $5.4 million for the nine months ended September 30, 2019.</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Interest expense for the three months ended September 30, 2020 decreased to $3.2 million,compared to $3.4 million for the three months ended September 30, 2019. Interest expense for the nine months ended September 30, 2020 decreased to $9.6 million, compared to $9.9 million for the nine months ended September 30, 2019.</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8"/>
        </w:trPr>
        <w:tc>
          <w:tcPr>
            <w:tcW w:w="40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2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236"/>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(including restructuring)</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13,706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32,706</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37,516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(4,810)</w:t>
            </w: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color w:val="auto"/>
              </w:rPr>
              <w:t>Effective income tax rate (including restructuring)</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13.0 %</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5.3 %</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12.4 %</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12.0 %</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5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(excluding restructuring)</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13,706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13,020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34,967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37,516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(2,549)</w:t>
            </w: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Effective income tax rate (excluding restructuring)</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13.0 %</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12.0 %</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12.0 %</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r>
    </w:tbl>
    <w:p>
      <w:pPr>
        <w:spacing w:after="0" w:line="359" w:lineRule="exact"/>
        <w:rPr>
          <w:sz w:val="20"/>
          <w:szCs w:val="20"/>
          <w:color w:val="auto"/>
        </w:rPr>
      </w:pPr>
    </w:p>
    <w:p>
      <w:pPr>
        <w:jc w:val="both"/>
        <w:ind w:firstLine="274"/>
        <w:spacing w:after="0" w:line="253" w:lineRule="auto"/>
        <w:rPr>
          <w:sz w:val="20"/>
          <w:szCs w:val="20"/>
          <w:color w:val="auto"/>
        </w:rPr>
      </w:pPr>
      <w:r>
        <w:rPr>
          <w:rFonts w:ascii="Arial" w:cs="Arial" w:eastAsia="Arial" w:hAnsi="Arial"/>
          <w:sz w:val="16"/>
          <w:szCs w:val="16"/>
          <w:color w:val="auto"/>
        </w:rPr>
        <w:t>Provision for income taxes increased to $13.7 million ($13.7 million excluding restructuring), compared to $13.0 million for the three months ended September 30, 2019. The Company’s effective tax rate for the three months ended September 30, 2020 was 13.0% (13.0% excluding restructuring ) compared with 12.0% for the three months ended September 30, 2019.</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Provision for income taxes decreased to $32.7 million ($35.0 million excluding restructuring), compared to $37.5 million for the nine months ended September 30, 2019. The Company’s effective tax rate for the nine months ended September 30, 2020 was 12.4% (12.4% excluding restructuring) compared with 12% for the nine months ended September 30, 2019. The Company’s effective tax rate remains principally a function of the distribution of pre-tax profits amongst the territories in which it operates.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jc w:val="both"/>
        <w:ind w:firstLine="199"/>
        <w:spacing w:after="0" w:line="253"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28" w:lineRule="exact"/>
        <w:rPr>
          <w:sz w:val="20"/>
          <w:szCs w:val="20"/>
          <w:color w:val="auto"/>
        </w:rPr>
      </w:pPr>
    </w:p>
    <w:p>
      <w:pPr>
        <w:jc w:val="both"/>
        <w:ind w:firstLine="246"/>
        <w:spacing w:after="0" w:line="25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8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Balance</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Drawn</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Net cash</w:t>
            </w: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Other non-</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Effect of</w:t>
            </w:r>
          </w:p>
        </w:tc>
        <w:tc>
          <w:tcPr>
            <w:tcW w:w="1640" w:type="dxa"/>
            <w:vAlign w:val="bottom"/>
            <w:shd w:val="clear" w:color="auto" w:fill="CCEEFF"/>
          </w:tcPr>
          <w:p>
            <w:pPr>
              <w:spacing w:after="0"/>
              <w:rPr>
                <w:sz w:val="17"/>
                <w:szCs w:val="17"/>
                <w:color w:val="auto"/>
              </w:rPr>
            </w:pPr>
          </w:p>
        </w:tc>
      </w:tr>
      <w:tr>
        <w:trPr>
          <w:trHeight w:val="207"/>
        </w:trPr>
        <w:tc>
          <w:tcPr>
            <w:tcW w:w="28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December</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down/</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inflow/</w:t>
            </w:r>
          </w:p>
        </w:tc>
        <w:tc>
          <w:tcPr>
            <w:tcW w:w="1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cash</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exchange</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r>
      <w:tr>
        <w:trPr>
          <w:trHeight w:val="215"/>
        </w:trPr>
        <w:tc>
          <w:tcPr>
            <w:tcW w:w="28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31, 2019</w:t>
            </w: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(repaid)</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(outflow)</w:t>
            </w:r>
          </w:p>
        </w:tc>
        <w:tc>
          <w:tcPr>
            <w:tcW w:w="15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rates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 2020</w:t>
            </w:r>
          </w:p>
        </w:tc>
      </w:tr>
      <w:tr>
        <w:trPr>
          <w:trHeight w:val="227"/>
        </w:trPr>
        <w:tc>
          <w:tcPr>
            <w:tcW w:w="2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2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 (in thousands)</w:t>
            </w:r>
          </w:p>
        </w:tc>
        <w:tc>
          <w:tcPr>
            <w:tcW w:w="1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5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7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520,309</w:t>
            </w:r>
          </w:p>
        </w:tc>
        <w:tc>
          <w:tcPr>
            <w:tcW w:w="11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186,740</w:t>
            </w: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946</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707,995</w:t>
            </w:r>
          </w:p>
        </w:tc>
      </w:tr>
      <w:tr>
        <w:trPr>
          <w:trHeight w:val="233"/>
        </w:trPr>
        <w:tc>
          <w:tcPr>
            <w:tcW w:w="288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49,628</w:t>
            </w:r>
          </w:p>
        </w:tc>
        <w:tc>
          <w:tcPr>
            <w:tcW w:w="1100" w:type="dxa"/>
            <w:vAlign w:val="bottom"/>
          </w:tcPr>
          <w:p>
            <w:pPr>
              <w:ind w:left="6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(47,902)</w:t>
            </w: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1,729</w:t>
            </w:r>
          </w:p>
        </w:tc>
      </w:tr>
      <w:tr>
        <w:trPr>
          <w:trHeight w:val="260"/>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Private placement notes</w:t>
            </w:r>
          </w:p>
        </w:tc>
        <w:tc>
          <w:tcPr>
            <w:tcW w:w="17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(349,640)</w:t>
            </w:r>
          </w:p>
        </w:tc>
        <w:tc>
          <w:tcPr>
            <w:tcW w:w="1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(283)</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(349,923)</w:t>
            </w:r>
          </w:p>
        </w:tc>
      </w:tr>
      <w:tr>
        <w:trPr>
          <w:trHeight w:val="243"/>
        </w:trPr>
        <w:tc>
          <w:tcPr>
            <w:tcW w:w="28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61"/>
        </w:trPr>
        <w:tc>
          <w:tcPr>
            <w:tcW w:w="28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220,297</w:t>
            </w:r>
          </w:p>
        </w:tc>
        <w:tc>
          <w:tcPr>
            <w:tcW w:w="1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138,838</w:t>
            </w:r>
          </w:p>
        </w:tc>
        <w:tc>
          <w:tcPr>
            <w:tcW w:w="1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(280)</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946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359,801</w:t>
            </w:r>
          </w:p>
        </w:tc>
      </w:tr>
      <w:tr>
        <w:trPr>
          <w:trHeight w:val="20"/>
        </w:trPr>
        <w:tc>
          <w:tcPr>
            <w:tcW w:w="28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282"/>
        <w:spacing w:after="0" w:line="251" w:lineRule="auto"/>
        <w:rPr>
          <w:sz w:val="20"/>
          <w:szCs w:val="20"/>
          <w:color w:val="auto"/>
        </w:rPr>
      </w:pPr>
      <w:r>
        <w:rPr>
          <w:rFonts w:ascii="Arial" w:cs="Arial" w:eastAsia="Arial" w:hAnsi="Arial"/>
          <w:sz w:val="16"/>
          <w:szCs w:val="16"/>
          <w:color w:val="auto"/>
        </w:rPr>
        <w:t>The Company’s cash and short term investment balances at September 30, 2020 amounted to $709.7 million compared with cash and short term investment balances of $569.9 million at December 31, 2019. The Company’s cash and short term investment balances at September 30, 2020 comprised of cash and cash equivalents of $708.0 million and short-term investments of $1.7 million. The Company’s cash and short term investment balances at December 31, 2019 comprised of cash and cash equivalents of $520.3 million and short-term investments of $49.6 million.</w:t>
      </w:r>
    </w:p>
    <w:p>
      <w:pPr>
        <w:spacing w:after="0" w:line="229" w:lineRule="exact"/>
        <w:rPr>
          <w:sz w:val="20"/>
          <w:szCs w:val="20"/>
          <w:color w:val="auto"/>
        </w:rPr>
      </w:pPr>
    </w:p>
    <w:p>
      <w:pPr>
        <w:jc w:val="both"/>
        <w:ind w:firstLine="247"/>
        <w:spacing w:after="0" w:line="253"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228" w:lineRule="exact"/>
        <w:rPr>
          <w:sz w:val="20"/>
          <w:szCs w:val="20"/>
          <w:color w:val="auto"/>
        </w:rPr>
      </w:pPr>
    </w:p>
    <w:p>
      <w:pPr>
        <w:jc w:val="both"/>
        <w:ind w:firstLine="197"/>
        <w:spacing w:after="0" w:line="250" w:lineRule="auto"/>
        <w:rPr>
          <w:sz w:val="20"/>
          <w:szCs w:val="20"/>
          <w:color w:val="auto"/>
        </w:rPr>
      </w:pPr>
      <w:r>
        <w:rPr>
          <w:rFonts w:ascii="Arial" w:cs="Arial" w:eastAsia="Arial" w:hAnsi="Arial"/>
          <w:sz w:val="16"/>
          <w:szCs w:val="16"/>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bears interest at LIBOR plus a margin. No amounts were drawn at September 30, 2020, or at December 31, 2019, in respect of the Revolving Credit Facility. Amounts available to the Group under the facility at September 30, 2020 and at December 31, 2019 were $150.0 million.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re-financing</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The Senior Notes will mature on December 15, 2020. This debt will be repaid and new Senior Notes will be drawn in December 2020, the terms of which were finalized in July 2020. In June 2020, the Company entered into an interest rate hedge in respect of the planned refinancing. The interest rate hedge was effective in accordance with Financial Accounting Standards Board (“FASB”) ASC 815, “Derivatives and Hedging”. The interest rate hedge matured on July 9, 2020 when the interest rates on the issue of new Senior Notes were fixed.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68" w:lineRule="exact"/>
        <w:rPr>
          <w:sz w:val="20"/>
          <w:szCs w:val="20"/>
          <w:color w:val="auto"/>
        </w:rPr>
      </w:pPr>
    </w:p>
    <w:p>
      <w:pPr>
        <w:jc w:val="both"/>
        <w:ind w:firstLine="216"/>
        <w:spacing w:after="0" w:line="248" w:lineRule="auto"/>
        <w:rPr>
          <w:sz w:val="20"/>
          <w:szCs w:val="20"/>
          <w:color w:val="auto"/>
        </w:rPr>
      </w:pPr>
      <w:r>
        <w:rPr>
          <w:rFonts w:ascii="Arial" w:cs="Arial" w:eastAsia="Arial" w:hAnsi="Arial"/>
          <w:sz w:val="16"/>
          <w:szCs w:val="16"/>
          <w:color w:val="auto"/>
        </w:rPr>
        <w:t>Net cash provided by operating activities was $372.6 million for the nine months ended September 30, 2020 compared with cash provided by operating activities of $278.1 million for the nine months ended September 30, 2019. This reflects the movements in working capital balances in the period.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delivery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September 30, 2020 was 64 days compared with 72 days at December 31, 2019 and 73 days at September 30, 2019. This reflects the timing of cash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68" w:lineRule="exact"/>
        <w:rPr>
          <w:sz w:val="20"/>
          <w:szCs w:val="20"/>
          <w:color w:val="auto"/>
        </w:rPr>
      </w:pPr>
    </w:p>
    <w:p>
      <w:pPr>
        <w:jc w:val="both"/>
        <w:ind w:firstLine="186"/>
        <w:spacing w:after="0" w:line="248" w:lineRule="auto"/>
        <w:rPr>
          <w:sz w:val="20"/>
          <w:szCs w:val="20"/>
          <w:color w:val="auto"/>
        </w:rPr>
      </w:pPr>
      <w:r>
        <w:rPr>
          <w:rFonts w:ascii="Arial" w:cs="Arial" w:eastAsia="Arial" w:hAnsi="Arial"/>
          <w:sz w:val="16"/>
          <w:szCs w:val="16"/>
          <w:color w:val="auto"/>
        </w:rPr>
        <w:t>Net cash used in investing activities was $23.1 million for the nine months ended September 30, 2020 compared to net cash used in investing activities of $132.4 million for the nine months ended September 30, 2019. Net cash used in investing activities in the nine months ended September 30, 2020 was largely attributable to cash outflows on the acquisition of MedPass of $47.6 million on January 22, 2020, cash outflows of $0.3 million in relation to the working capital adjustment on the acquisition of Symphony which was acquired on September 24, 2019, cash outflows of $0.5 million in relation to the contingent consideration paid for Symphony in the period and a cash inflow of $0.5 million in relation to the working capital adjustment on the acquisition of MeDiNova which was acquired on May 23, 2019. These were offset in part by cash acquired of $10.2 million. During the nine months ended September 30, 2020, cash used for the purchase of equity method investments was $2.5 million. During the nine months ended September 30, 2020, capital expenditure of $28.0 million was made mainly relating to investment in facilities and IT infrastructure. In addition, $2.7 million was used for the purchase of investments in equity. During the nine months ended September 30, 2020 $47.9 million was generated by the sale of short term investments.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Net cash used in investing activities during the nine months ended September 30, 2019 was largely attributable to cash outflows on the acquisitions of MMD of $42.2 million on January 25, 2019, cash outflows on the acquisition of MeDiNova on May 23, 2019 of $39.3 million and cash outflows on the acquisition of Symphony on September 24, 2019 of $35.0 million. These were offset in part by cash acquired of $11.7 million. In addition capital expenditure of $31.9 million was made which was mainly comprised of investment in facilities and IT infrastructure. In addition $3.5 million was used for the purchase of investments in equity. During the nine months ended September 30, 2019 $16.1 million was used for the purchase of short term investments and $23.8 million was generated by the sale of short term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68" w:lineRule="exact"/>
        <w:rPr>
          <w:sz w:val="20"/>
          <w:szCs w:val="20"/>
          <w:color w:val="auto"/>
        </w:rPr>
      </w:pPr>
    </w:p>
    <w:p>
      <w:pPr>
        <w:jc w:val="both"/>
        <w:ind w:firstLine="272"/>
        <w:spacing w:after="0" w:line="250" w:lineRule="auto"/>
        <w:rPr>
          <w:sz w:val="20"/>
          <w:szCs w:val="20"/>
          <w:color w:val="auto"/>
        </w:rPr>
      </w:pPr>
      <w:r>
        <w:rPr>
          <w:rFonts w:ascii="Arial" w:cs="Arial" w:eastAsia="Arial" w:hAnsi="Arial"/>
          <w:sz w:val="16"/>
          <w:szCs w:val="16"/>
          <w:color w:val="auto"/>
        </w:rPr>
        <w:t>Net cash used in financing activities during the nine months ended September 30, 2020 amounted to $162.8 million compared to net cash used in financing activities of $120.6 million for the nine months ended September 30, 2019. Cash outflows in respect of financing includes cash payments in respect of the Company’s share repurchase program totaling $175.0 million during the nine months ended September 30, 2020. In addition, $12.3 million was received by the Company from the exercise of share options. During the nine months ended September 30, 2019, $141.6 million was recognized in relation to the Company's share repurchase program. In addition, $21.1 million was received by the Company from the exercise of share options.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68" w:lineRule="exact"/>
        <w:rPr>
          <w:sz w:val="20"/>
          <w:szCs w:val="20"/>
          <w:color w:val="auto"/>
        </w:rPr>
      </w:pPr>
    </w:p>
    <w:p>
      <w:pPr>
        <w:jc w:val="both"/>
        <w:ind w:firstLine="218"/>
        <w:spacing w:after="0" w:line="260" w:lineRule="auto"/>
        <w:rPr>
          <w:sz w:val="20"/>
          <w:szCs w:val="20"/>
          <w:color w:val="auto"/>
        </w:rPr>
      </w:pPr>
      <w:r>
        <w:rPr>
          <w:rFonts w:ascii="Arial" w:cs="Arial" w:eastAsia="Arial" w:hAnsi="Arial"/>
          <w:sz w:val="16"/>
          <w:szCs w:val="16"/>
          <w:color w:val="auto"/>
        </w:rPr>
        <w:t>As a result of these cash flows, cash and cash equivalents increased by $187.7 million for the nine months ended September 30, 2020 compared to a increase of $21.8 million for the nine months ended September 30, 2019.</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believe the effects of inflation generally do not have a material adverse impact on our operations or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5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On April 20, 2020, a putative class action, Chrystal Miller v. ICON plc et al, was filed against the Company in the Superior Court of California, County of San Mateo. The complaint alleges that the Company, two subsidiaries, and an individual employee violated the California Labor Code and the California Business &amp; Professions Code by failing to pay overtime wages, provide meal and rest periods, provide accurate and itemized wage statements and timely pay all final wages to Clinical Research Associates employed in California since April 20, 2016. The suit seeks monetary damages, interest, injunctive relief, and attorneys’ fees and costs. On June 22, 2020, the case was removed to the U.S. District Court, Northern District of California. The Company denies the allegations and will vigorously defend the lawsuit.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68" w:lineRule="exact"/>
        <w:rPr>
          <w:sz w:val="20"/>
          <w:szCs w:val="20"/>
          <w:color w:val="auto"/>
        </w:rPr>
      </w:pPr>
    </w:p>
    <w:p>
      <w:pPr>
        <w:jc w:val="both"/>
        <w:ind w:firstLine="188"/>
        <w:spacing w:after="0" w:line="249" w:lineRule="auto"/>
        <w:rPr>
          <w:sz w:val="20"/>
          <w:szCs w:val="20"/>
          <w:color w:val="auto"/>
        </w:rPr>
      </w:pPr>
      <w:r>
        <w:rPr>
          <w:rFonts w:ascii="Arial" w:cs="Arial" w:eastAsia="Arial" w:hAnsi="Arial"/>
          <w:sz w:val="16"/>
          <w:szCs w:val="16"/>
          <w:color w:val="auto"/>
        </w:rPr>
        <w:t>Certain statements contained herein are forward looking statements.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Forward-looking statements are only as of the date they are made and we do not undertake any obligation to update publicly any forward-looking statement, either as a result of new information, future events or otherwise. Please also refer to the Form 20-F filed on February 27, 2020 for risks and uncertainties facing the Company.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277"/>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79" w:lineRule="exact"/>
        <w:rPr>
          <w:sz w:val="20"/>
          <w:szCs w:val="20"/>
          <w:color w:val="auto"/>
        </w:rPr>
      </w:pPr>
    </w:p>
    <w:p>
      <w:pPr>
        <w:ind w:left="790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2318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39" w:lineRule="exact"/>
        <w:rPr>
          <w:sz w:val="20"/>
          <w:szCs w:val="20"/>
          <w:color w:val="auto"/>
        </w:rPr>
      </w:pPr>
    </w:p>
    <w:p>
      <w:pPr>
        <w:ind w:left="680" w:right="1740" w:hanging="7869"/>
        <w:spacing w:after="0" w:line="285" w:lineRule="auto"/>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23, 2020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3"/>
    </w:lvl>
  </w:abstractNum>
  <w:abstractNum w:abstractNumId="1">
    <w:nsid w:val="507ED7AB"/>
    <w:multiLevelType w:val="hybridMultilevel"/>
    <w:lvl w:ilvl="0">
      <w:lvlJc w:val="left"/>
      <w:lvlText w:val="%1."/>
      <w:numFmt w:val="decimal"/>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2020-10-23T09:17:00Z</dcterms:created>
  <dcterms:modified xsi:type="dcterms:W3CDTF">2020-10-23T09:17:00Z</dcterms:modified>
</cp:coreProperties>
</file>