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Report of Foreign Private Issuer</w:t>
      </w:r>
    </w:p>
    <w:p>
      <w:pPr>
        <w:jc w:val="center"/>
        <w:spacing w:after="0" w:line="226" w:lineRule="auto"/>
        <w:rPr>
          <w:sz w:val="20"/>
          <w:szCs w:val="20"/>
          <w:color w:val="auto"/>
        </w:rPr>
      </w:pPr>
      <w:r>
        <w:rPr>
          <w:rFonts w:ascii="Arial" w:cs="Arial" w:eastAsia="Arial" w:hAnsi="Arial"/>
          <w:sz w:val="14"/>
          <w:szCs w:val="14"/>
          <w:b w:val="1"/>
          <w:bCs w:val="1"/>
          <w:color w:val="auto"/>
        </w:rPr>
        <w:t>Pursuant to Rule 13a - 16 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March 31, 2008</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name)</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0-29714</w:t>
      </w:r>
    </w:p>
    <w:p>
      <w:pPr>
        <w:jc w:val="center"/>
        <w:spacing w:after="0"/>
        <w:rPr>
          <w:sz w:val="20"/>
          <w:szCs w:val="20"/>
          <w:color w:val="auto"/>
        </w:rPr>
      </w:pPr>
      <w:r>
        <w:rPr>
          <w:rFonts w:ascii="Arial" w:cs="Arial" w:eastAsia="Arial" w:hAnsi="Arial"/>
          <w:sz w:val="14"/>
          <w:szCs w:val="14"/>
          <w:color w:val="auto"/>
        </w:rPr>
        <w:t>(Commission file number)</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South County Business Park, Leopardstown, Dublin 18, Ireland.</w:t>
      </w: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3700"/>
        <w:spacing w:after="0"/>
        <w:tabs>
          <w:tab w:leader="none" w:pos="5180" w:val="left"/>
          <w:tab w:leader="none" w:pos="6560" w:val="left"/>
          <w:tab w:leader="none" w:pos="802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b w:val="1"/>
          <w:bCs w:val="1"/>
          <w:color w:val="auto"/>
        </w:rPr>
        <w:t>x</w:t>
      </w:r>
      <w:r>
        <w:rPr>
          <w:sz w:val="20"/>
          <w:szCs w:val="20"/>
          <w:color w:val="auto"/>
        </w:rPr>
        <w:tab/>
      </w: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o</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27" w:lineRule="exact"/>
        <w:rPr>
          <w:sz w:val="24"/>
          <w:szCs w:val="24"/>
          <w:color w:val="auto"/>
        </w:rPr>
      </w:pPr>
    </w:p>
    <w:p>
      <w:pPr>
        <w:ind w:left="3700"/>
        <w:spacing w:after="0"/>
        <w:tabs>
          <w:tab w:leader="none" w:pos="5180" w:val="left"/>
          <w:tab w:leader="none" w:pos="6560" w:val="left"/>
          <w:tab w:leader="none" w:pos="802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No</w:t>
      </w:r>
      <w:r>
        <w:rPr>
          <w:sz w:val="20"/>
          <w:szCs w:val="20"/>
          <w:color w:val="auto"/>
        </w:rPr>
        <w:tab/>
      </w:r>
      <w:r>
        <w:rPr>
          <w:rFonts w:ascii="Arial" w:cs="Arial" w:eastAsia="Arial" w:hAnsi="Arial"/>
          <w:sz w:val="14"/>
          <w:szCs w:val="14"/>
          <w:b w:val="1"/>
          <w:bCs w:val="1"/>
          <w:color w:val="auto"/>
        </w:rPr>
        <w:t>x</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27" w:lineRule="exact"/>
        <w:rPr>
          <w:sz w:val="24"/>
          <w:szCs w:val="24"/>
          <w:color w:val="auto"/>
        </w:rPr>
      </w:pPr>
    </w:p>
    <w:p>
      <w:pPr>
        <w:ind w:left="3700"/>
        <w:spacing w:after="0"/>
        <w:tabs>
          <w:tab w:leader="none" w:pos="5180" w:val="left"/>
          <w:tab w:leader="none" w:pos="6560" w:val="left"/>
          <w:tab w:leader="none" w:pos="802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No</w:t>
      </w:r>
      <w:r>
        <w:rPr>
          <w:sz w:val="20"/>
          <w:szCs w:val="20"/>
          <w:color w:val="auto"/>
        </w:rPr>
        <w:tab/>
      </w:r>
      <w:r>
        <w:rPr>
          <w:rFonts w:ascii="Arial" w:cs="Arial" w:eastAsia="Arial" w:hAnsi="Arial"/>
          <w:sz w:val="14"/>
          <w:szCs w:val="14"/>
          <w:b w:val="1"/>
          <w:bCs w:val="1"/>
          <w:color w:val="auto"/>
        </w:rPr>
        <w:t>x</w:t>
      </w:r>
    </w:p>
    <w:p>
      <w:pPr>
        <w:spacing w:after="0" w:line="235" w:lineRule="exact"/>
        <w:rPr>
          <w:sz w:val="24"/>
          <w:szCs w:val="24"/>
          <w:color w:val="auto"/>
        </w:rPr>
      </w:pPr>
    </w:p>
    <w:p>
      <w:pPr>
        <w:ind w:right="200"/>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ind w:left="3700"/>
              <w:spacing w:after="0"/>
              <w:rPr>
                <w:sz w:val="20"/>
                <w:szCs w:val="20"/>
                <w:color w:val="auto"/>
              </w:rPr>
            </w:pPr>
            <w:r>
              <w:rPr>
                <w:rFonts w:ascii="Arial" w:cs="Arial" w:eastAsia="Arial" w:hAnsi="Arial"/>
                <w:sz w:val="14"/>
                <w:szCs w:val="14"/>
                <w:color w:val="auto"/>
              </w:rPr>
              <w:t>Yes</w:t>
            </w:r>
          </w:p>
        </w:tc>
        <w:tc>
          <w:tcPr>
            <w:tcW w:w="1360" w:type="dxa"/>
            <w:vAlign w:val="bottom"/>
          </w:tcPr>
          <w:p>
            <w:pPr>
              <w:ind w:left="640"/>
              <w:spacing w:after="0"/>
              <w:rPr>
                <w:sz w:val="20"/>
                <w:szCs w:val="20"/>
                <w:color w:val="auto"/>
              </w:rPr>
            </w:pPr>
            <w:r>
              <w:rPr>
                <w:rFonts w:ascii="Arial" w:cs="Arial" w:eastAsia="Arial" w:hAnsi="Arial"/>
                <w:sz w:val="14"/>
                <w:szCs w:val="14"/>
                <w:color w:val="auto"/>
              </w:rPr>
              <w:t>o</w:t>
            </w:r>
          </w:p>
        </w:tc>
        <w:tc>
          <w:tcPr>
            <w:tcW w:w="1240" w:type="dxa"/>
            <w:vAlign w:val="bottom"/>
          </w:tcPr>
          <w:p>
            <w:pPr>
              <w:ind w:left="660"/>
              <w:spacing w:after="0"/>
              <w:rPr>
                <w:sz w:val="20"/>
                <w:szCs w:val="20"/>
                <w:color w:val="auto"/>
              </w:rPr>
            </w:pPr>
            <w:r>
              <w:rPr>
                <w:rFonts w:ascii="Arial" w:cs="Arial" w:eastAsia="Arial" w:hAnsi="Arial"/>
                <w:sz w:val="14"/>
                <w:szCs w:val="14"/>
                <w:color w:val="auto"/>
              </w:rPr>
              <w:t>No</w:t>
            </w:r>
          </w:p>
        </w:tc>
        <w:tc>
          <w:tcPr>
            <w:tcW w:w="4260" w:type="dxa"/>
            <w:vAlign w:val="bottom"/>
          </w:tcPr>
          <w:p>
            <w:pPr>
              <w:ind w:left="880"/>
              <w:spacing w:after="0"/>
              <w:rPr>
                <w:sz w:val="20"/>
                <w:szCs w:val="20"/>
                <w:color w:val="auto"/>
              </w:rPr>
            </w:pPr>
            <w:r>
              <w:rPr>
                <w:rFonts w:ascii="Arial" w:cs="Arial" w:eastAsia="Arial" w:hAnsi="Arial"/>
                <w:sz w:val="14"/>
                <w:szCs w:val="14"/>
                <w:b w:val="1"/>
                <w:bCs w:val="1"/>
                <w:color w:val="auto"/>
              </w:rPr>
              <w:t>x</w:t>
            </w:r>
          </w:p>
        </w:tc>
      </w:tr>
      <w:tr>
        <w:trPr>
          <w:trHeight w:val="392"/>
        </w:trPr>
        <w:tc>
          <w:tcPr>
            <w:tcW w:w="7160" w:type="dxa"/>
            <w:vAlign w:val="bottom"/>
            <w:gridSpan w:val="3"/>
          </w:tcPr>
          <w:p>
            <w:pPr>
              <w:spacing w:after="0"/>
              <w:rPr>
                <w:sz w:val="20"/>
                <w:szCs w:val="20"/>
                <w:color w:val="auto"/>
              </w:rPr>
            </w:pPr>
            <w:r>
              <w:rPr>
                <w:rFonts w:ascii="Arial" w:cs="Arial" w:eastAsia="Arial" w:hAnsi="Arial"/>
                <w:sz w:val="14"/>
                <w:szCs w:val="14"/>
                <w:color w:val="auto"/>
              </w:rPr>
              <w:t>If “Yes” is marked, indicate below the file number assigned to the registrant in connection with Rule 12g3-2(b):82</w:t>
            </w:r>
          </w:p>
        </w:tc>
        <w:tc>
          <w:tcPr>
            <w:tcW w:w="4260" w:type="dxa"/>
            <w:vAlign w:val="bottom"/>
          </w:tcPr>
          <w:p>
            <w:pPr>
              <w:ind w:left="400"/>
              <w:spacing w:after="0"/>
              <w:rPr>
                <w:sz w:val="20"/>
                <w:szCs w:val="20"/>
                <w:color w:val="auto"/>
              </w:rPr>
            </w:pPr>
            <w:r>
              <w:rPr>
                <w:rFonts w:ascii="Arial" w:cs="Arial" w:eastAsia="Arial" w:hAnsi="Arial"/>
                <w:sz w:val="14"/>
                <w:szCs w:val="14"/>
                <w:b w:val="1"/>
                <w:bCs w:val="1"/>
                <w:color w:val="auto"/>
              </w:rPr>
              <w:t>N/A</w:t>
            </w:r>
          </w:p>
        </w:tc>
      </w:tr>
      <w:tr>
        <w:trPr>
          <w:trHeight w:val="346"/>
        </w:trPr>
        <w:tc>
          <w:tcPr>
            <w:tcW w:w="45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20" w:type="dxa"/>
            <w:vAlign w:val="bottom"/>
            <w:gridSpan w:val="3"/>
          </w:tcPr>
          <w:p>
            <w:pPr>
              <w:jc w:val="center"/>
              <w:ind w:right="3380"/>
              <w:spacing w:after="0"/>
              <w:rPr>
                <w:sz w:val="20"/>
                <w:szCs w:val="20"/>
                <w:color w:val="auto"/>
              </w:rPr>
            </w:pPr>
            <w:r>
              <w:rPr>
                <w:rFonts w:ascii="Arial" w:cs="Arial" w:eastAsia="Arial" w:hAnsi="Arial"/>
                <w:sz w:val="14"/>
                <w:szCs w:val="14"/>
                <w:b w:val="1"/>
                <w:bCs w:val="1"/>
                <w:color w:val="auto"/>
              </w:rPr>
              <w:t>ICON plc</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92"/>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40" w:type="dxa"/>
            <w:vAlign w:val="bottom"/>
            <w:gridSpan w:val="5"/>
          </w:tcPr>
          <w:p>
            <w:pPr>
              <w:jc w:val="center"/>
              <w:ind w:right="1440"/>
              <w:spacing w:after="0"/>
              <w:rPr>
                <w:sz w:val="20"/>
                <w:szCs w:val="20"/>
                <w:color w:val="auto"/>
              </w:rPr>
            </w:pPr>
            <w:r>
              <w:rPr>
                <w:rFonts w:ascii="Arial" w:cs="Arial" w:eastAsia="Arial" w:hAnsi="Arial"/>
                <w:sz w:val="14"/>
                <w:szCs w:val="14"/>
                <w:b w:val="1"/>
                <w:bCs w:val="1"/>
                <w:color w:val="auto"/>
                <w:w w:val="95"/>
              </w:rPr>
              <w:t>Quarterly Period Ended March 31, 2008</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9460" w:type="dxa"/>
            <w:vAlign w:val="bottom"/>
            <w:gridSpan w:val="8"/>
          </w:tcPr>
          <w:p>
            <w:pPr>
              <w:spacing w:after="0"/>
              <w:rPr>
                <w:sz w:val="20"/>
                <w:szCs w:val="20"/>
                <w:color w:val="auto"/>
              </w:rPr>
            </w:pPr>
            <w:r>
              <w:rPr>
                <w:rFonts w:ascii="Arial" w:cs="Arial" w:eastAsia="Arial" w:hAnsi="Arial"/>
                <w:sz w:val="14"/>
                <w:szCs w:val="14"/>
                <w:b w:val="1"/>
                <w:bCs w:val="1"/>
                <w:color w:val="auto"/>
              </w:rPr>
              <w:t>CONTENTS</w:t>
            </w:r>
          </w:p>
        </w:tc>
        <w:tc>
          <w:tcPr>
            <w:tcW w:w="1960" w:type="dxa"/>
            <w:vAlign w:val="bottom"/>
            <w:gridSpan w:val="4"/>
          </w:tcPr>
          <w:p>
            <w:pPr>
              <w:ind w:left="1360"/>
              <w:spacing w:after="0"/>
              <w:rPr>
                <w:sz w:val="20"/>
                <w:szCs w:val="20"/>
                <w:color w:val="auto"/>
              </w:rPr>
            </w:pPr>
            <w:r>
              <w:rPr>
                <w:rFonts w:ascii="Arial" w:cs="Arial" w:eastAsia="Arial" w:hAnsi="Arial"/>
                <w:sz w:val="14"/>
                <w:szCs w:val="14"/>
                <w:b w:val="1"/>
                <w:bCs w:val="1"/>
                <w:color w:val="auto"/>
              </w:rPr>
              <w:t>Page</w:t>
            </w:r>
          </w:p>
        </w:tc>
      </w:tr>
      <w:tr>
        <w:trPr>
          <w:trHeight w:val="269"/>
        </w:trPr>
        <w:tc>
          <w:tcPr>
            <w:tcW w:w="9460" w:type="dxa"/>
            <w:vAlign w:val="bottom"/>
            <w:gridSpan w:val="8"/>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General</w:t>
              </w:r>
            </w:hyperlink>
          </w:p>
        </w:tc>
        <w:tc>
          <w:tcPr>
            <w:tcW w:w="1960" w:type="dxa"/>
            <w:vAlign w:val="bottom"/>
            <w:gridSpan w:val="4"/>
          </w:tcPr>
          <w:p>
            <w:pPr>
              <w:jc w:val="right"/>
              <w:ind w:right="100"/>
              <w:spacing w:after="0"/>
              <w:rPr>
                <w:rFonts w:ascii="Arial" w:cs="Arial" w:eastAsia="Arial" w:hAnsi="Arial"/>
                <w:sz w:val="14"/>
                <w:szCs w:val="14"/>
                <w:color w:val="0000EE"/>
              </w:rPr>
            </w:pPr>
            <w:hyperlink w:anchor="page4">
              <w:r>
                <w:rPr>
                  <w:rFonts w:ascii="Arial" w:cs="Arial" w:eastAsia="Arial" w:hAnsi="Arial"/>
                  <w:sz w:val="14"/>
                  <w:szCs w:val="14"/>
                  <w:color w:val="0000EE"/>
                </w:rPr>
                <w:t>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5340" w:type="dxa"/>
            <w:vAlign w:val="bottom"/>
            <w:tcBorders>
              <w:bottom w:val="single" w:sz="8" w:color="0000EE"/>
            </w:tcBorders>
            <w:gridSpan w:val="5"/>
          </w:tcPr>
          <w:p>
            <w:pPr>
              <w:spacing w:after="0"/>
              <w:rPr>
                <w:rFonts w:ascii="Arial" w:cs="Arial" w:eastAsia="Arial" w:hAnsi="Arial"/>
                <w:sz w:val="14"/>
                <w:szCs w:val="14"/>
                <w:color w:val="0000EE"/>
                <w:w w:val="91"/>
              </w:rPr>
            </w:pPr>
            <w:hyperlink w:anchor="page5">
              <w:r>
                <w:rPr>
                  <w:rFonts w:ascii="Arial" w:cs="Arial" w:eastAsia="Arial" w:hAnsi="Arial"/>
                  <w:sz w:val="14"/>
                  <w:szCs w:val="14"/>
                  <w:color w:val="0000EE"/>
                  <w:w w:val="91"/>
                </w:rPr>
                <w:t>Condensed Consolidated Balance Sheets as of March 31, 2008 and as of December 31, 2007</w:t>
              </w:r>
            </w:hyperlink>
          </w:p>
        </w:tc>
        <w:tc>
          <w:tcPr>
            <w:tcW w:w="4120" w:type="dxa"/>
            <w:vAlign w:val="bottom"/>
            <w:gridSpan w:val="3"/>
          </w:tcPr>
          <w:p>
            <w:pPr>
              <w:spacing w:after="0"/>
              <w:rPr>
                <w:sz w:val="24"/>
                <w:szCs w:val="24"/>
                <w:color w:val="auto"/>
              </w:rPr>
            </w:pPr>
          </w:p>
        </w:tc>
        <w:tc>
          <w:tcPr>
            <w:tcW w:w="178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5">
              <w:r>
                <w:rPr>
                  <w:rFonts w:ascii="Arial" w:cs="Arial" w:eastAsia="Arial" w:hAnsi="Arial"/>
                  <w:sz w:val="14"/>
                  <w:szCs w:val="14"/>
                  <w:color w:val="0000EE"/>
                  <w:w w:val="76"/>
                </w:rPr>
                <w:t>3</w:t>
              </w:r>
            </w:hyperlink>
          </w:p>
        </w:tc>
        <w:tc>
          <w:tcPr>
            <w:tcW w:w="100" w:type="dxa"/>
            <w:vAlign w:val="bottom"/>
          </w:tcPr>
          <w:p>
            <w:pPr>
              <w:spacing w:after="0"/>
              <w:rPr>
                <w:sz w:val="24"/>
                <w:szCs w:val="24"/>
                <w:color w:val="auto"/>
              </w:rPr>
            </w:pPr>
          </w:p>
        </w:tc>
      </w:tr>
      <w:tr>
        <w:trPr>
          <w:trHeight w:val="277"/>
        </w:trPr>
        <w:tc>
          <w:tcPr>
            <w:tcW w:w="9460" w:type="dxa"/>
            <w:vAlign w:val="bottom"/>
            <w:gridSpan w:val="8"/>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Statements of Operations for the three months ended March 31, 2008 and the three months ended March 31, 2007.</w:t>
              </w:r>
            </w:hyperlink>
          </w:p>
        </w:tc>
        <w:tc>
          <w:tcPr>
            <w:tcW w:w="1960" w:type="dxa"/>
            <w:vAlign w:val="bottom"/>
            <w:gridSpan w:val="4"/>
          </w:tcPr>
          <w:p>
            <w:pPr>
              <w:jc w:val="right"/>
              <w:ind w:right="100"/>
              <w:spacing w:after="0"/>
              <w:rPr>
                <w:rFonts w:ascii="Arial" w:cs="Arial" w:eastAsia="Arial" w:hAnsi="Arial"/>
                <w:sz w:val="14"/>
                <w:szCs w:val="14"/>
                <w:color w:val="0000EE"/>
              </w:rPr>
            </w:pPr>
            <w:hyperlink w:anchor="page6">
              <w:r>
                <w:rPr>
                  <w:rFonts w:ascii="Arial" w:cs="Arial" w:eastAsia="Arial" w:hAnsi="Arial"/>
                  <w:sz w:val="14"/>
                  <w:szCs w:val="14"/>
                  <w:color w:val="0000EE"/>
                </w:rPr>
                <w:t>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8120" w:type="dxa"/>
            <w:vAlign w:val="bottom"/>
            <w:tcBorders>
              <w:bottom w:val="single" w:sz="8" w:color="0000EE"/>
            </w:tcBorders>
            <w:gridSpan w:val="7"/>
          </w:tcPr>
          <w:p>
            <w:pPr>
              <w:spacing w:after="0"/>
              <w:rPr>
                <w:rFonts w:ascii="Arial" w:cs="Arial" w:eastAsia="Arial" w:hAnsi="Arial"/>
                <w:sz w:val="14"/>
                <w:szCs w:val="14"/>
                <w:color w:val="0000EE"/>
                <w:w w:val="91"/>
              </w:rPr>
            </w:pPr>
            <w:hyperlink w:anchor="page7">
              <w:r>
                <w:rPr>
                  <w:rFonts w:ascii="Arial" w:cs="Arial" w:eastAsia="Arial" w:hAnsi="Arial"/>
                  <w:sz w:val="14"/>
                  <w:szCs w:val="14"/>
                  <w:color w:val="0000EE"/>
                  <w:w w:val="91"/>
                </w:rPr>
                <w:t>Condensed Consolidated Statements of Cash Flows for the three months ended March 31, 2008 and the three months ended March 31, 2007.</w:t>
              </w:r>
            </w:hyperlink>
          </w:p>
        </w:tc>
        <w:tc>
          <w:tcPr>
            <w:tcW w:w="1340" w:type="dxa"/>
            <w:vAlign w:val="bottom"/>
          </w:tcPr>
          <w:p>
            <w:pPr>
              <w:spacing w:after="0"/>
              <w:rPr>
                <w:sz w:val="24"/>
                <w:szCs w:val="24"/>
                <w:color w:val="auto"/>
              </w:rPr>
            </w:pPr>
          </w:p>
        </w:tc>
        <w:tc>
          <w:tcPr>
            <w:tcW w:w="178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7">
              <w:r>
                <w:rPr>
                  <w:rFonts w:ascii="Arial" w:cs="Arial" w:eastAsia="Arial" w:hAnsi="Arial"/>
                  <w:sz w:val="14"/>
                  <w:szCs w:val="14"/>
                  <w:color w:val="0000EE"/>
                  <w:w w:val="76"/>
                </w:rPr>
                <w:t>5</w:t>
              </w:r>
            </w:hyperlink>
          </w:p>
        </w:tc>
        <w:tc>
          <w:tcPr>
            <w:tcW w:w="100" w:type="dxa"/>
            <w:vAlign w:val="bottom"/>
          </w:tcPr>
          <w:p>
            <w:pPr>
              <w:spacing w:after="0"/>
              <w:rPr>
                <w:sz w:val="24"/>
                <w:szCs w:val="24"/>
                <w:color w:val="auto"/>
              </w:rPr>
            </w:pPr>
          </w:p>
        </w:tc>
      </w:tr>
      <w:tr>
        <w:trPr>
          <w:trHeight w:val="277"/>
        </w:trPr>
        <w:tc>
          <w:tcPr>
            <w:tcW w:w="5180" w:type="dxa"/>
            <w:vAlign w:val="bottom"/>
            <w:tcBorders>
              <w:bottom w:val="single" w:sz="8" w:color="0000EE"/>
            </w:tcBorders>
            <w:gridSpan w:val="4"/>
          </w:tcPr>
          <w:p>
            <w:pPr>
              <w:spacing w:after="0"/>
              <w:rPr>
                <w:rFonts w:ascii="Arial" w:cs="Arial" w:eastAsia="Arial" w:hAnsi="Arial"/>
                <w:sz w:val="14"/>
                <w:szCs w:val="14"/>
                <w:color w:val="0000EE"/>
                <w:w w:val="92"/>
              </w:rPr>
            </w:pPr>
            <w:hyperlink w:anchor="page8">
              <w:r>
                <w:rPr>
                  <w:rFonts w:ascii="Arial" w:cs="Arial" w:eastAsia="Arial" w:hAnsi="Arial"/>
                  <w:sz w:val="14"/>
                  <w:szCs w:val="14"/>
                  <w:color w:val="0000EE"/>
                  <w:w w:val="92"/>
                </w:rPr>
                <w:t>Condensed Consolidated Statements of Shareholders’ Equity and Comprehensive Income</w:t>
              </w:r>
            </w:hyperlink>
          </w:p>
        </w:tc>
        <w:tc>
          <w:tcPr>
            <w:tcW w:w="4280" w:type="dxa"/>
            <w:vAlign w:val="bottom"/>
            <w:gridSpan w:val="4"/>
          </w:tcPr>
          <w:p>
            <w:pPr>
              <w:spacing w:after="0"/>
              <w:rPr>
                <w:sz w:val="24"/>
                <w:szCs w:val="24"/>
                <w:color w:val="auto"/>
              </w:rPr>
            </w:pPr>
          </w:p>
        </w:tc>
        <w:tc>
          <w:tcPr>
            <w:tcW w:w="178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8">
              <w:r>
                <w:rPr>
                  <w:rFonts w:ascii="Arial" w:cs="Arial" w:eastAsia="Arial" w:hAnsi="Arial"/>
                  <w:sz w:val="14"/>
                  <w:szCs w:val="14"/>
                  <w:color w:val="0000EE"/>
                  <w:w w:val="76"/>
                </w:rPr>
                <w:t>6</w:t>
              </w:r>
            </w:hyperlink>
          </w:p>
        </w:tc>
        <w:tc>
          <w:tcPr>
            <w:tcW w:w="100" w:type="dxa"/>
            <w:vAlign w:val="bottom"/>
          </w:tcPr>
          <w:p>
            <w:pPr>
              <w:spacing w:after="0"/>
              <w:rPr>
                <w:sz w:val="24"/>
                <w:szCs w:val="24"/>
                <w:color w:val="auto"/>
              </w:rPr>
            </w:pPr>
          </w:p>
        </w:tc>
      </w:tr>
      <w:tr>
        <w:trPr>
          <w:trHeight w:val="277"/>
        </w:trPr>
        <w:tc>
          <w:tcPr>
            <w:tcW w:w="3420" w:type="dxa"/>
            <w:vAlign w:val="bottom"/>
            <w:tcBorders>
              <w:bottom w:val="single" w:sz="8" w:color="0000EE"/>
            </w:tcBorders>
            <w:gridSpan w:val="3"/>
          </w:tcPr>
          <w:p>
            <w:pPr>
              <w:spacing w:after="0"/>
              <w:rPr>
                <w:rFonts w:ascii="Arial" w:cs="Arial" w:eastAsia="Arial" w:hAnsi="Arial"/>
                <w:sz w:val="14"/>
                <w:szCs w:val="14"/>
                <w:color w:val="0000EE"/>
                <w:w w:val="91"/>
              </w:rPr>
            </w:pPr>
            <w:hyperlink w:anchor="page9">
              <w:r>
                <w:rPr>
                  <w:rFonts w:ascii="Arial" w:cs="Arial" w:eastAsia="Arial" w:hAnsi="Arial"/>
                  <w:sz w:val="14"/>
                  <w:szCs w:val="14"/>
                  <w:color w:val="0000EE"/>
                  <w:w w:val="91"/>
                </w:rPr>
                <w:t>Notes to the Condensed Consolidated Financial Statements</w:t>
              </w:r>
            </w:hyperlink>
          </w:p>
        </w:tc>
        <w:tc>
          <w:tcPr>
            <w:tcW w:w="6040" w:type="dxa"/>
            <w:vAlign w:val="bottom"/>
            <w:gridSpan w:val="5"/>
          </w:tcPr>
          <w:p>
            <w:pPr>
              <w:spacing w:after="0"/>
              <w:rPr>
                <w:sz w:val="24"/>
                <w:szCs w:val="24"/>
                <w:color w:val="auto"/>
              </w:rPr>
            </w:pPr>
          </w:p>
        </w:tc>
        <w:tc>
          <w:tcPr>
            <w:tcW w:w="178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9">
              <w:r>
                <w:rPr>
                  <w:rFonts w:ascii="Arial" w:cs="Arial" w:eastAsia="Arial" w:hAnsi="Arial"/>
                  <w:sz w:val="14"/>
                  <w:szCs w:val="14"/>
                  <w:color w:val="0000EE"/>
                  <w:w w:val="76"/>
                </w:rPr>
                <w:t>7</w:t>
              </w:r>
            </w:hyperlink>
          </w:p>
        </w:tc>
        <w:tc>
          <w:tcPr>
            <w:tcW w:w="100" w:type="dxa"/>
            <w:vAlign w:val="bottom"/>
          </w:tcPr>
          <w:p>
            <w:pPr>
              <w:spacing w:after="0"/>
              <w:rPr>
                <w:sz w:val="24"/>
                <w:szCs w:val="24"/>
                <w:color w:val="auto"/>
              </w:rPr>
            </w:pPr>
          </w:p>
        </w:tc>
      </w:tr>
      <w:tr>
        <w:trPr>
          <w:trHeight w:val="277"/>
        </w:trPr>
        <w:tc>
          <w:tcPr>
            <w:tcW w:w="5180" w:type="dxa"/>
            <w:vAlign w:val="bottom"/>
            <w:tcBorders>
              <w:bottom w:val="single" w:sz="8" w:color="0000EE"/>
            </w:tcBorders>
            <w:gridSpan w:val="4"/>
          </w:tcPr>
          <w:p>
            <w:pPr>
              <w:spacing w:after="0"/>
              <w:rPr>
                <w:rFonts w:ascii="Arial" w:cs="Arial" w:eastAsia="Arial" w:hAnsi="Arial"/>
                <w:sz w:val="14"/>
                <w:szCs w:val="14"/>
                <w:color w:val="0000EE"/>
                <w:w w:val="93"/>
              </w:rPr>
            </w:pPr>
            <w:hyperlink w:anchor="page17">
              <w:r>
                <w:rPr>
                  <w:rFonts w:ascii="Arial" w:cs="Arial" w:eastAsia="Arial" w:hAnsi="Arial"/>
                  <w:sz w:val="14"/>
                  <w:szCs w:val="14"/>
                  <w:color w:val="0000EE"/>
                  <w:w w:val="93"/>
                </w:rPr>
                <w:t>Management’s Discussion and Analysis of Financial Condition and Results of Operations</w:t>
              </w:r>
            </w:hyperlink>
          </w:p>
        </w:tc>
        <w:tc>
          <w:tcPr>
            <w:tcW w:w="4280" w:type="dxa"/>
            <w:vAlign w:val="bottom"/>
            <w:gridSpan w:val="4"/>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17">
              <w:r>
                <w:rPr>
                  <w:rFonts w:ascii="Arial" w:cs="Arial" w:eastAsia="Arial" w:hAnsi="Arial"/>
                  <w:sz w:val="14"/>
                  <w:szCs w:val="14"/>
                  <w:color w:val="0000EE"/>
                  <w:w w:val="89"/>
                </w:rPr>
                <w:t>15</w:t>
              </w:r>
            </w:hyperlink>
          </w:p>
        </w:tc>
        <w:tc>
          <w:tcPr>
            <w:tcW w:w="100" w:type="dxa"/>
            <w:vAlign w:val="bottom"/>
          </w:tcPr>
          <w:p>
            <w:pPr>
              <w:spacing w:after="0"/>
              <w:rPr>
                <w:sz w:val="24"/>
                <w:szCs w:val="24"/>
                <w:color w:val="auto"/>
              </w:rPr>
            </w:pPr>
          </w:p>
        </w:tc>
      </w:tr>
      <w:tr>
        <w:trPr>
          <w:trHeight w:val="277"/>
        </w:trPr>
        <w:tc>
          <w:tcPr>
            <w:tcW w:w="9460" w:type="dxa"/>
            <w:vAlign w:val="bottom"/>
            <w:gridSpan w:val="8"/>
          </w:tcPr>
          <w:p>
            <w:pPr>
              <w:spacing w:after="0"/>
              <w:rPr>
                <w:rFonts w:ascii="Arial" w:cs="Arial" w:eastAsia="Arial" w:hAnsi="Arial"/>
                <w:sz w:val="14"/>
                <w:szCs w:val="14"/>
                <w:color w:val="0000EE"/>
              </w:rPr>
            </w:pPr>
            <w:hyperlink w:anchor="page21">
              <w:r>
                <w:rPr>
                  <w:rFonts w:ascii="Arial" w:cs="Arial" w:eastAsia="Arial" w:hAnsi="Arial"/>
                  <w:sz w:val="14"/>
                  <w:szCs w:val="14"/>
                  <w:color w:val="0000EE"/>
                </w:rPr>
                <w:t>Signature Page</w:t>
              </w:r>
            </w:hyperlink>
          </w:p>
        </w:tc>
        <w:tc>
          <w:tcPr>
            <w:tcW w:w="1960" w:type="dxa"/>
            <w:vAlign w:val="bottom"/>
            <w:gridSpan w:val="4"/>
          </w:tcPr>
          <w:p>
            <w:pPr>
              <w:jc w:val="right"/>
              <w:ind w:right="100"/>
              <w:spacing w:after="0"/>
              <w:rPr>
                <w:rFonts w:ascii="Arial" w:cs="Arial" w:eastAsia="Arial" w:hAnsi="Arial"/>
                <w:sz w:val="14"/>
                <w:szCs w:val="14"/>
                <w:color w:val="0000EE"/>
              </w:rPr>
            </w:pPr>
            <w:hyperlink w:anchor="page21">
              <w:r>
                <w:rPr>
                  <w:rFonts w:ascii="Arial" w:cs="Arial" w:eastAsia="Arial" w:hAnsi="Arial"/>
                  <w:sz w:val="14"/>
                  <w:szCs w:val="14"/>
                  <w:color w:val="0000EE"/>
                </w:rPr>
                <w:t>19</w:t>
              </w:r>
            </w:hyperlink>
          </w:p>
        </w:tc>
      </w:tr>
      <w:tr>
        <w:trPr>
          <w:trHeight w:val="355"/>
        </w:trPr>
        <w:tc>
          <w:tcPr>
            <w:tcW w:w="46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78"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60" w:right="37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GENERAL</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As used herein, “ICON”, the “Company” and “we” refer to ICON plc and its consolidated subsidiaries, unless the context requires otherwise.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6,150 employees worldwide, with operations in 68 locations in 36 countries, including the United States and major markets in Europe and Rest of World. For the three months ended March 31, 2008, we derived approximately 45.7%, 46.3%, and 8.0% of our net revenue in the United States, Europe and Rest of World,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Headquartered in Dublin, Ireland, we began operations in 1990 and have expanded our business through internal growth and strategic 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February 11, 2008, the Company acquired 100% of the common stock of Healthcare Discoveries Inc. (“Healthcare Discoveries”) for an initial cash consideration of approximately $11.0 million, excluding costs of acquisition. Healthcare Discoveries, located in San Antonio, Texas, USA, is engaged in the provision of Phase I clinical trials management activities. Further consideration of up to $10.0 million may become payable during the year ended December 31, 2008, if certain performance milestones are achieved.</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February 4, 2008, an uncommitted credit facility was negotiated with Citibank N.A, for $30.0 million. Interest is calculated at the London Interbank Market rate plus a margin. On March 31, 2008, $12.0 million of this facility was drawn, primarily to fund the acquisition of Healthcare Discoveries.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July 12, 2007, the Company acquired 100% of the common stock of DOCS International, a European based clinical research staffing organization, for a cash consideration of approximately €29.5 million ($40.6 million), excluding costs of acquisition. DOCS International operates in eight European countries and focuses on the training and supply of contract and permanent clinical research personnel to the pharmaceutical and biotech industry.</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On July 9, 2007, ICON plc entered into a five year committed multi-currency facility agreement for €35 million ($55.3 million) with The Governor and Company of the Bank of Ireland. The facility bears interest at an annual rate equal to the reference rate of EURIBOR plus a margin. Our obligations under the facility are secured by certain composite guarantees and indemnities and pledges in favour of the bank. On July 10, 2007, the Company drew down €29.5 million ($46.6 million) of the facility to fund the acquisition of DOCS International. On October 15, 2007, the remaining €5.5 million ($8.7 million) of the facility was drawn down to cover head office expansion in Ireland.</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October 17, 2007, an uncommitted credit facility was negotiated with Allied Irish Banks plc, for €30 million ($47.4 million). Interest is calculated at the EUR Interbank rate plus a margin. The facility is secured by the same composite guarantees and indemnities in place for the Bank of Ireland committed facility. On December 31, 2007, this facility was fully drawn. The funds were used to refinance overdraft facilities in place to fund expenditure on the head office expansion. On January 8, 2008, the facility with Allied Irish Banks plc was increased to €50 Million ($79.0 million). All terms of this facility remain the same. On March 31, 2008, €40.4 million ($63.8 million) of this facility was drawn. The facility is due to be reviewed on October 31, 2010.</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6" w:lineRule="auto"/>
        <w:rPr>
          <w:sz w:val="20"/>
          <w:szCs w:val="20"/>
          <w:color w:val="auto"/>
        </w:rPr>
      </w:pPr>
      <w:r>
        <w:rPr>
          <w:rFonts w:ascii="Arial" w:cs="Arial" w:eastAsia="Arial" w:hAnsi="Arial"/>
          <w:sz w:val="14"/>
          <w:szCs w:val="14"/>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AT MARCH 31, 2008 AND DECEMBER 31,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3"/>
          </w:tcPr>
          <w:p>
            <w:pPr>
              <w:jc w:val="right"/>
              <w:ind w:right="100"/>
              <w:spacing w:after="0" w:line="158"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3"/>
          </w:tcPr>
          <w:p>
            <w:pPr>
              <w:jc w:val="right"/>
              <w:ind w:right="100"/>
              <w:spacing w:after="0" w:line="158"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680" w:type="dxa"/>
            <w:vAlign w:val="bottom"/>
            <w:gridSpan w:val="2"/>
            <w:vMerge w:val="continue"/>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7"/>
          </w:tcPr>
          <w:p>
            <w:pPr>
              <w:ind w:left="2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67"/>
        </w:trPr>
        <w:tc>
          <w:tcPr>
            <w:tcW w:w="568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 and cash equivalents</w:t>
            </w:r>
          </w:p>
        </w:tc>
        <w:tc>
          <w:tcPr>
            <w:tcW w:w="3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81,222</w:t>
            </w:r>
          </w:p>
        </w:tc>
        <w:tc>
          <w:tcPr>
            <w:tcW w:w="4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Short term investments - available for sale</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29,743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41,752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182,672</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Unbilled revenue</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161,120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144,661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receivables</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7,133</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Deferred tax asset</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8,695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Prepayments and other current assets</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21,214</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Income taxes receivable</w:t>
            </w:r>
          </w:p>
        </w:tc>
        <w:tc>
          <w:tcPr>
            <w:tcW w:w="3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2,448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Total current assets</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492,422</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423,146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Property, plant and equipment, net</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153,708</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Goodwill</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139,086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123,879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other assets</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2,273</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Non-current income taxes receivable</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3,140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deferred tax asset</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5,464</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Intangible assets</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1,787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3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797,880</w:t>
            </w:r>
          </w:p>
        </w:tc>
        <w:tc>
          <w:tcPr>
            <w:tcW w:w="4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693,138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3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13,645</w:t>
            </w:r>
          </w:p>
        </w:tc>
        <w:tc>
          <w:tcPr>
            <w:tcW w:w="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Payments on account</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133,805</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66,576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70,743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tax liability</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Bank credit lines and loan facilities</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82,753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43,767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taxes payable</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5,579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Total current liabilities</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302,617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229,875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Long term government grants</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1,244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Long term finance leases</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Non-current income taxes payable</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14,830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deferred tax liability</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6,636</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Non-current other liabilities</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1,451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bank credit lines and loan facilities</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48,394</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Minority interest</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1,635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6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Ordinary shares, par value 6 euro cents per share; 40,000,000 shares authorized,</w:t>
            </w:r>
          </w:p>
        </w:tc>
        <w:tc>
          <w:tcPr>
            <w:tcW w:w="3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28,986,318 shares issued and outstanding at March 31, 2008 and</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28,835,244 shares issued and outstanding at December 31, 2007</w:t>
            </w:r>
          </w:p>
        </w:tc>
        <w:tc>
          <w:tcPr>
            <w:tcW w:w="3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2,139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152,217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146,355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income</w:t>
            </w:r>
          </w:p>
        </w:tc>
        <w:tc>
          <w:tcPr>
            <w:tcW w:w="3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41,693</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224,984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208,090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Shareholders' Equity</w:t>
            </w:r>
          </w:p>
        </w:tc>
        <w:tc>
          <w:tcPr>
            <w:tcW w:w="3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421,033</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388,400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Borders>
              <w:top w:val="single" w:sz="8" w:color="CCEEFF"/>
            </w:tcBorders>
          </w:tcPr>
          <w:p>
            <w:pPr>
              <w:spacing w:after="0"/>
              <w:rPr>
                <w:sz w:val="12"/>
                <w:szCs w:val="12"/>
                <w:color w:val="auto"/>
              </w:rPr>
            </w:pPr>
          </w:p>
        </w:tc>
        <w:tc>
          <w:tcPr>
            <w:tcW w:w="31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3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797,880</w:t>
            </w:r>
          </w:p>
        </w:tc>
        <w:tc>
          <w:tcPr>
            <w:tcW w:w="4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693,138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680" w:type="dxa"/>
            <w:vAlign w:val="bottom"/>
            <w:gridSpan w:val="2"/>
          </w:tcPr>
          <w:p>
            <w:pPr>
              <w:spacing w:after="0"/>
              <w:rPr>
                <w:sz w:val="20"/>
                <w:szCs w:val="20"/>
                <w:color w:val="auto"/>
              </w:rPr>
            </w:pPr>
            <w:r>
              <w:rPr>
                <w:rFonts w:ascii="Arial" w:cs="Arial" w:eastAsia="Arial" w:hAnsi="Arial"/>
                <w:sz w:val="14"/>
                <w:szCs w:val="14"/>
                <w:color w:val="auto"/>
                <w:w w:val="91"/>
              </w:rPr>
              <w:t>The accompanying notes are an integral part of these condensed consolidated financial statements.</w:t>
            </w: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140" w:type="dxa"/>
            <w:vAlign w:val="bottom"/>
          </w:tcPr>
          <w:p>
            <w:pPr>
              <w:jc w:val="right"/>
              <w:ind w:right="3012"/>
              <w:spacing w:after="0"/>
              <w:rPr>
                <w:sz w:val="20"/>
                <w:szCs w:val="20"/>
                <w:color w:val="auto"/>
              </w:rPr>
            </w:pPr>
            <w:r>
              <w:rPr>
                <w:rFonts w:ascii="Arial" w:cs="Arial" w:eastAsia="Arial" w:hAnsi="Arial"/>
                <w:sz w:val="10"/>
                <w:szCs w:val="10"/>
                <w:color w:val="auto"/>
                <w:w w:val="71"/>
              </w:rPr>
              <w:t>3</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66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500" w:type="dxa"/>
            <w:vAlign w:val="bottom"/>
          </w:tcPr>
          <w:p>
            <w:pPr>
              <w:jc w:val="center"/>
              <w:ind w:left="2828"/>
              <w:spacing w:after="0"/>
              <w:rPr>
                <w:sz w:val="20"/>
                <w:szCs w:val="20"/>
                <w:color w:val="auto"/>
              </w:rPr>
            </w:pPr>
            <w:r>
              <w:rPr>
                <w:rFonts w:ascii="Arial" w:cs="Arial" w:eastAsia="Arial" w:hAnsi="Arial"/>
                <w:sz w:val="14"/>
                <w:szCs w:val="14"/>
                <w:b w:val="1"/>
                <w:bCs w:val="1"/>
                <w:color w:val="auto"/>
              </w:rPr>
              <w:t>ICON plc</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500" w:type="dxa"/>
            <w:vAlign w:val="bottom"/>
          </w:tcPr>
          <w:p>
            <w:pPr>
              <w:jc w:val="center"/>
              <w:ind w:left="2808"/>
              <w:spacing w:after="0"/>
              <w:rPr>
                <w:sz w:val="20"/>
                <w:szCs w:val="20"/>
                <w:color w:val="auto"/>
              </w:rPr>
            </w:pPr>
            <w:r>
              <w:rPr>
                <w:rFonts w:ascii="Arial" w:cs="Arial" w:eastAsia="Arial" w:hAnsi="Arial"/>
                <w:sz w:val="14"/>
                <w:szCs w:val="14"/>
                <w:b w:val="1"/>
                <w:bCs w:val="1"/>
                <w:color w:val="auto"/>
              </w:rPr>
              <w:t>CONDENSED CONSOLIDATED STATEMENTS OF OPERATIONS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rPr>
              <w:t>FOR THE THREE MONTHS ENDED MARCH 31, 2008 AND MARCH 31, 2007</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500" w:type="dxa"/>
            <w:vAlign w:val="bottom"/>
          </w:tcPr>
          <w:p>
            <w:pPr>
              <w:jc w:val="center"/>
              <w:ind w:left="2828"/>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4"/>
          </w:tcPr>
          <w:p>
            <w:pPr>
              <w:jc w:val="right"/>
              <w:ind w:right="140"/>
              <w:spacing w:after="0" w:line="129"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rPr>
              <w:t>March</w:t>
            </w:r>
          </w:p>
        </w:tc>
        <w:tc>
          <w:tcPr>
            <w:tcW w:w="24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w w:val="71"/>
              </w:rPr>
              <w:t>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520" w:type="dxa"/>
            <w:vAlign w:val="bottom"/>
            <w:gridSpan w:val="2"/>
            <w:vMerge w:val="restart"/>
          </w:tcPr>
          <w:p>
            <w:pPr>
              <w:spacing w:after="0"/>
              <w:rPr>
                <w:sz w:val="20"/>
                <w:szCs w:val="20"/>
                <w:color w:val="auto"/>
              </w:rPr>
            </w:pPr>
            <w:r>
              <w:rPr>
                <w:rFonts w:ascii="Arial" w:cs="Arial" w:eastAsia="Arial" w:hAnsi="Arial"/>
                <w:sz w:val="14"/>
                <w:szCs w:val="14"/>
                <w:color w:val="auto"/>
              </w:rPr>
              <w:t>Revenue:</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80" w:type="dxa"/>
            <w:vAlign w:val="bottom"/>
            <w:gridSpan w:val="11"/>
          </w:tcPr>
          <w:p>
            <w:pPr>
              <w:jc w:val="right"/>
              <w:ind w:right="240"/>
              <w:spacing w:after="0" w:line="119" w:lineRule="exact"/>
              <w:rPr>
                <w:sz w:val="20"/>
                <w:szCs w:val="20"/>
                <w:color w:val="auto"/>
              </w:rPr>
            </w:pPr>
            <w:r>
              <w:rPr>
                <w:rFonts w:ascii="Arial" w:cs="Arial" w:eastAsia="Arial" w:hAnsi="Arial"/>
                <w:sz w:val="13"/>
                <w:szCs w:val="13"/>
                <w:b w:val="1"/>
                <w:bCs w:val="1"/>
                <w:color w:val="auto"/>
              </w:rPr>
              <w:t>(in thousands except share</w:t>
            </w:r>
          </w:p>
        </w:tc>
        <w:tc>
          <w:tcPr>
            <w:tcW w:w="0" w:type="dxa"/>
            <w:vAlign w:val="bottom"/>
          </w:tcPr>
          <w:p>
            <w:pPr>
              <w:spacing w:after="0"/>
              <w:rPr>
                <w:sz w:val="1"/>
                <w:szCs w:val="1"/>
                <w:color w:val="auto"/>
              </w:rPr>
            </w:pPr>
          </w:p>
        </w:tc>
      </w:tr>
      <w:tr>
        <w:trPr>
          <w:trHeight w:val="186"/>
        </w:trPr>
        <w:tc>
          <w:tcPr>
            <w:tcW w:w="8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auto"/>
                <w:w w:val="99"/>
              </w:rPr>
              <w:t>and per share data)</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8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revenue</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283,853</w:t>
            </w:r>
          </w:p>
        </w:tc>
        <w:tc>
          <w:tcPr>
            <w:tcW w:w="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186,740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Subcontractor costs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(82,509)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(50,651)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Net revenue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201,344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136,089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113,189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5"/>
          </w:tcPr>
          <w:p>
            <w:pPr>
              <w:jc w:val="right"/>
              <w:ind w:right="140"/>
              <w:spacing w:after="0" w:line="149" w:lineRule="exact"/>
              <w:rPr>
                <w:sz w:val="20"/>
                <w:szCs w:val="20"/>
                <w:color w:val="auto"/>
              </w:rPr>
            </w:pPr>
            <w:r>
              <w:rPr>
                <w:rFonts w:ascii="Arial" w:cs="Arial" w:eastAsia="Arial" w:hAnsi="Arial"/>
                <w:sz w:val="14"/>
                <w:szCs w:val="14"/>
                <w:color w:val="auto"/>
              </w:rPr>
              <w:t>60,545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38,684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6,098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costs and expenses</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179,832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121,397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21,512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provision for income taxes</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21,469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(4,247)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(3,428)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0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16,894</w:t>
            </w:r>
          </w:p>
        </w:tc>
        <w:tc>
          <w:tcPr>
            <w:tcW w:w="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12,266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Net income per Ordinary Share:</w:t>
            </w:r>
          </w:p>
        </w:tc>
        <w:tc>
          <w:tcPr>
            <w:tcW w:w="3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5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Basic</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0.58</w:t>
            </w:r>
          </w:p>
        </w:tc>
        <w:tc>
          <w:tcPr>
            <w:tcW w:w="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ind w:left="140"/>
              <w:spacing w:after="0" w:line="142" w:lineRule="exact"/>
              <w:rPr>
                <w:sz w:val="20"/>
                <w:szCs w:val="20"/>
                <w:color w:val="auto"/>
              </w:rPr>
            </w:pPr>
            <w:r>
              <w:rPr>
                <w:rFonts w:ascii="Arial" w:cs="Arial" w:eastAsia="Arial" w:hAnsi="Arial"/>
                <w:sz w:val="14"/>
                <w:szCs w:val="14"/>
                <w:color w:val="auto"/>
              </w:rPr>
              <w:t>Diluted</w:t>
            </w:r>
          </w:p>
        </w:tc>
        <w:tc>
          <w:tcPr>
            <w:tcW w:w="5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5"/>
          </w:tcPr>
          <w:p>
            <w:pPr>
              <w:jc w:val="right"/>
              <w:ind w:right="140"/>
              <w:spacing w:after="0" w:line="142" w:lineRule="exact"/>
              <w:rPr>
                <w:sz w:val="20"/>
                <w:szCs w:val="20"/>
                <w:color w:val="auto"/>
              </w:rPr>
            </w:pPr>
            <w:r>
              <w:rPr>
                <w:rFonts w:ascii="Arial" w:cs="Arial" w:eastAsia="Arial" w:hAnsi="Arial"/>
                <w:sz w:val="14"/>
                <w:szCs w:val="14"/>
                <w:color w:val="auto"/>
              </w:rPr>
              <w:t>0.56</w:t>
            </w:r>
          </w:p>
        </w:tc>
        <w:tc>
          <w:tcPr>
            <w:tcW w:w="3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5"/>
          </w:tcPr>
          <w:p>
            <w:pPr>
              <w:jc w:val="right"/>
              <w:ind w:right="100"/>
              <w:spacing w:after="0" w:line="142" w:lineRule="exact"/>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00" w:type="dxa"/>
            <w:vAlign w:val="bottom"/>
          </w:tcPr>
          <w:p>
            <w:pPr>
              <w:spacing w:after="0" w:line="149" w:lineRule="exact"/>
              <w:rPr>
                <w:sz w:val="20"/>
                <w:szCs w:val="20"/>
                <w:color w:val="auto"/>
              </w:rPr>
            </w:pPr>
            <w:r>
              <w:rPr>
                <w:rFonts w:ascii="Arial" w:cs="Arial" w:eastAsia="Arial" w:hAnsi="Arial"/>
                <w:sz w:val="14"/>
                <w:szCs w:val="14"/>
                <w:color w:val="auto"/>
              </w:rPr>
              <w:t>Weighted average number of Ordinary Shares outstanding:</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28,902,630</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28,564,498</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ind w:left="160"/>
              <w:spacing w:after="0" w:line="142" w:lineRule="exact"/>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30,039,736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2" w:lineRule="exact"/>
              <w:rPr>
                <w:sz w:val="20"/>
                <w:szCs w:val="20"/>
                <w:color w:val="auto"/>
              </w:rPr>
            </w:pPr>
            <w:r>
              <w:rPr>
                <w:rFonts w:ascii="Arial" w:cs="Arial" w:eastAsia="Arial" w:hAnsi="Arial"/>
                <w:sz w:val="14"/>
                <w:szCs w:val="14"/>
                <w:color w:val="auto"/>
              </w:rPr>
              <w:t>29,508,662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680" w:right="5680" w:hanging="5669"/>
        <w:spacing w:after="0" w:line="499" w:lineRule="auto"/>
        <w:rPr>
          <w:sz w:val="20"/>
          <w:szCs w:val="20"/>
          <w:color w:val="auto"/>
        </w:rPr>
      </w:pPr>
      <w:r>
        <w:rPr>
          <w:rFonts w:ascii="Arial" w:cs="Arial" w:eastAsia="Arial" w:hAnsi="Arial"/>
          <w:sz w:val="12"/>
          <w:szCs w:val="12"/>
          <w:color w:val="auto"/>
        </w:rPr>
        <w:t>The accompanying notes are an integral part of these condensed consolidated financial statements.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6" w:lineRule="auto"/>
        <w:rPr>
          <w:sz w:val="20"/>
          <w:szCs w:val="20"/>
          <w:color w:val="auto"/>
        </w:rPr>
      </w:pPr>
      <w:r>
        <w:rPr>
          <w:rFonts w:ascii="Arial" w:cs="Arial" w:eastAsia="Arial" w:hAnsi="Arial"/>
          <w:sz w:val="14"/>
          <w:szCs w:val="14"/>
          <w:b w:val="1"/>
          <w:bCs w:val="1"/>
          <w:color w:val="auto"/>
        </w:rPr>
        <w:t>CONDENSED CONSOLIDATED STATEMENTS OF CASH FLOWS</w:t>
      </w:r>
    </w:p>
    <w:p>
      <w:pPr>
        <w:jc w:val="center"/>
        <w:spacing w:after="0" w:line="222" w:lineRule="auto"/>
        <w:rPr>
          <w:sz w:val="20"/>
          <w:szCs w:val="20"/>
          <w:color w:val="auto"/>
        </w:rPr>
      </w:pPr>
      <w:r>
        <w:rPr>
          <w:rFonts w:ascii="Arial" w:cs="Arial" w:eastAsia="Arial" w:hAnsi="Arial"/>
          <w:sz w:val="14"/>
          <w:szCs w:val="14"/>
          <w:b w:val="1"/>
          <w:bCs w:val="1"/>
          <w:color w:val="auto"/>
        </w:rPr>
        <w:t>FOR THE THREE MONTHS ENDED MARCH 31, 2008 AND MARCH 31, 2007</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4"/>
          </w:tcPr>
          <w:p>
            <w:pPr>
              <w:jc w:val="right"/>
              <w:ind w:right="68"/>
              <w:spacing w:after="0" w:line="129"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ind w:left="220"/>
              <w:spacing w:after="0" w:line="129" w:lineRule="exact"/>
              <w:rPr>
                <w:sz w:val="20"/>
                <w:szCs w:val="20"/>
                <w:color w:val="auto"/>
              </w:rPr>
            </w:pPr>
            <w:r>
              <w:rPr>
                <w:rFonts w:ascii="Arial" w:cs="Arial" w:eastAsia="Arial" w:hAnsi="Arial"/>
                <w:sz w:val="14"/>
                <w:szCs w:val="14"/>
                <w:b w:val="1"/>
                <w:bCs w:val="1"/>
                <w:color w:val="auto"/>
              </w:rPr>
              <w:t>March</w:t>
            </w:r>
          </w:p>
        </w:tc>
        <w:tc>
          <w:tcPr>
            <w:tcW w:w="24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w w:val="71"/>
              </w:rPr>
              <w:t>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5680" w:type="dxa"/>
            <w:vAlign w:val="bottom"/>
            <w:gridSpan w:val="2"/>
            <w:vMerge w:val="continue"/>
          </w:tcPr>
          <w:p>
            <w:pPr>
              <w:spacing w:after="0"/>
              <w:rPr>
                <w:sz w:val="23"/>
                <w:szCs w:val="23"/>
                <w:color w:val="auto"/>
              </w:rPr>
            </w:pPr>
          </w:p>
        </w:tc>
        <w:tc>
          <w:tcPr>
            <w:tcW w:w="3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6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16,894</w:t>
            </w:r>
          </w:p>
        </w:tc>
        <w:tc>
          <w:tcPr>
            <w:tcW w:w="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used in operating activities:</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68"/>
              <w:spacing w:after="0" w:line="149" w:lineRule="exact"/>
              <w:rPr>
                <w:sz w:val="20"/>
                <w:szCs w:val="20"/>
                <w:color w:val="auto"/>
              </w:rPr>
            </w:pPr>
            <w:r>
              <w:rPr>
                <w:rFonts w:ascii="Arial" w:cs="Arial" w:eastAsia="Arial" w:hAnsi="Arial"/>
                <w:sz w:val="14"/>
                <w:szCs w:val="14"/>
                <w:color w:val="auto"/>
              </w:rPr>
              <w:t>6,098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4,156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Amortization of grants</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Share-based compensation expense</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68"/>
              <w:spacing w:after="0" w:line="149" w:lineRule="exact"/>
              <w:rPr>
                <w:sz w:val="20"/>
                <w:szCs w:val="20"/>
                <w:color w:val="auto"/>
              </w:rPr>
            </w:pPr>
            <w:r>
              <w:rPr>
                <w:rFonts w:ascii="Arial" w:cs="Arial" w:eastAsia="Arial" w:hAnsi="Arial"/>
                <w:sz w:val="14"/>
                <w:szCs w:val="14"/>
                <w:color w:val="auto"/>
              </w:rPr>
              <w:t>1,254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Deferred taxes</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(2,923)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Increase in accounts receivable</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(46,821)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Increase in unbilled revenue</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(15,045)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Decrease in other receivables</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Increase in prepayments and other current assets</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(3,709)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Increase in other non current assets</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(133)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Increase/(decrease) in payments on account</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36,847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Decrease in other current liabilities</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(9,718)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(10,117)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Increase in other non-current liabilities</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Increase in income taxes payable</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68"/>
              <w:spacing w:after="0" w:line="149" w:lineRule="exact"/>
              <w:rPr>
                <w:sz w:val="20"/>
                <w:szCs w:val="20"/>
                <w:color w:val="auto"/>
              </w:rPr>
            </w:pPr>
            <w:r>
              <w:rPr>
                <w:rFonts w:ascii="Arial" w:cs="Arial" w:eastAsia="Arial" w:hAnsi="Arial"/>
                <w:sz w:val="14"/>
                <w:szCs w:val="14"/>
                <w:color w:val="auto"/>
              </w:rPr>
              <w:t>4,480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(Decrease) / increase in accounts payable</w:t>
            </w:r>
          </w:p>
        </w:tc>
        <w:tc>
          <w:tcPr>
            <w:tcW w:w="3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(527)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Borders>
              <w:top w:val="single" w:sz="8" w:color="CCEEFF"/>
            </w:tcBorders>
          </w:tcPr>
          <w:p>
            <w:pPr>
              <w:spacing w:after="0"/>
              <w:rPr>
                <w:sz w:val="12"/>
                <w:szCs w:val="12"/>
                <w:color w:val="auto"/>
              </w:rPr>
            </w:pPr>
          </w:p>
        </w:tc>
        <w:tc>
          <w:tcPr>
            <w:tcW w:w="314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(12,330)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(2,794)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Purchase of property, plant and equipment</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(16,517)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(12,534)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 of subsidiary undertakings &amp; acquisition costs</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(11,053)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Cash acquired with subsidiary undertaking</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Sale of short term investments</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12,009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(15,556)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(12,534)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Drawdown of bank credit lines and loan facilities</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26,722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Proceeds from exercise of share options</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68"/>
              <w:spacing w:after="0" w:line="149" w:lineRule="exact"/>
              <w:rPr>
                <w:sz w:val="20"/>
                <w:szCs w:val="20"/>
                <w:color w:val="auto"/>
              </w:rPr>
            </w:pPr>
            <w:r>
              <w:rPr>
                <w:rFonts w:ascii="Arial" w:cs="Arial" w:eastAsia="Arial" w:hAnsi="Arial"/>
                <w:sz w:val="14"/>
                <w:szCs w:val="14"/>
                <w:color w:val="auto"/>
              </w:rPr>
              <w:t>3,267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issuance costs</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Tax benefit from the exercise of share options</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68"/>
              <w:spacing w:after="0" w:line="149" w:lineRule="exact"/>
              <w:rPr>
                <w:sz w:val="20"/>
                <w:szCs w:val="20"/>
                <w:color w:val="auto"/>
              </w:rPr>
            </w:pPr>
            <w:r>
              <w:rPr>
                <w:rFonts w:ascii="Arial" w:cs="Arial" w:eastAsia="Arial" w:hAnsi="Arial"/>
                <w:sz w:val="14"/>
                <w:szCs w:val="14"/>
                <w:color w:val="auto"/>
              </w:rPr>
              <w:t>1,390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other liabilities</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68"/>
              <w:spacing w:after="0" w:line="149" w:lineRule="exact"/>
              <w:rPr>
                <w:sz w:val="20"/>
                <w:szCs w:val="20"/>
                <w:color w:val="auto"/>
              </w:rPr>
            </w:pPr>
            <w:r>
              <w:rPr>
                <w:rFonts w:ascii="Arial" w:cs="Arial" w:eastAsia="Arial" w:hAnsi="Arial"/>
                <w:sz w:val="14"/>
                <w:szCs w:val="14"/>
                <w:color w:val="auto"/>
              </w:rPr>
              <w:t>31,335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movements on cash</w:t>
            </w:r>
          </w:p>
        </w:tc>
        <w:tc>
          <w:tcPr>
            <w:tcW w:w="3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892</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Net increase/(decrease) in cash and cash equivalents</w:t>
            </w: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4"/>
          </w:tcPr>
          <w:p>
            <w:pPr>
              <w:jc w:val="right"/>
              <w:ind w:right="68"/>
              <w:spacing w:after="0" w:line="149" w:lineRule="exact"/>
              <w:rPr>
                <w:sz w:val="20"/>
                <w:szCs w:val="20"/>
                <w:color w:val="auto"/>
              </w:rPr>
            </w:pPr>
            <w:r>
              <w:rPr>
                <w:rFonts w:ascii="Arial" w:cs="Arial" w:eastAsia="Arial" w:hAnsi="Arial"/>
                <w:sz w:val="14"/>
                <w:szCs w:val="14"/>
                <w:color w:val="auto"/>
              </w:rPr>
              <w:t>4,341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(13,427)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3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76,881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63,039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Borders>
              <w:top w:val="single" w:sz="8" w:color="CCEEFF"/>
            </w:tcBorders>
          </w:tcPr>
          <w:p>
            <w:pPr>
              <w:spacing w:after="0"/>
              <w:rPr>
                <w:sz w:val="12"/>
                <w:szCs w:val="12"/>
                <w:color w:val="auto"/>
              </w:rPr>
            </w:pPr>
          </w:p>
        </w:tc>
        <w:tc>
          <w:tcPr>
            <w:tcW w:w="314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 end of period</w:t>
            </w:r>
          </w:p>
        </w:tc>
        <w:tc>
          <w:tcPr>
            <w:tcW w:w="36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81,222</w:t>
            </w:r>
          </w:p>
        </w:tc>
        <w:tc>
          <w:tcPr>
            <w:tcW w:w="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680" w:type="dxa"/>
            <w:vAlign w:val="bottom"/>
            <w:gridSpan w:val="2"/>
          </w:tcPr>
          <w:p>
            <w:pPr>
              <w:spacing w:after="0"/>
              <w:rPr>
                <w:sz w:val="20"/>
                <w:szCs w:val="20"/>
                <w:color w:val="auto"/>
              </w:rPr>
            </w:pPr>
            <w:r>
              <w:rPr>
                <w:rFonts w:ascii="Arial" w:cs="Arial" w:eastAsia="Arial" w:hAnsi="Arial"/>
                <w:sz w:val="14"/>
                <w:szCs w:val="14"/>
                <w:color w:val="auto"/>
                <w:w w:val="91"/>
              </w:rPr>
              <w:t>The accompanying notes are an integral part of these condensed consolidated financial statements.</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140" w:type="dxa"/>
            <w:vAlign w:val="bottom"/>
          </w:tcPr>
          <w:p>
            <w:pPr>
              <w:jc w:val="right"/>
              <w:ind w:right="3015"/>
              <w:spacing w:after="0"/>
              <w:rPr>
                <w:sz w:val="20"/>
                <w:szCs w:val="20"/>
                <w:color w:val="auto"/>
              </w:rPr>
            </w:pPr>
            <w:r>
              <w:rPr>
                <w:rFonts w:ascii="Arial" w:cs="Arial" w:eastAsia="Arial" w:hAnsi="Arial"/>
                <w:sz w:val="10"/>
                <w:szCs w:val="10"/>
                <w:color w:val="auto"/>
                <w:w w:val="71"/>
              </w:rPr>
              <w:t>5</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66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SHAREHOLDERS' EQUITY AND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spacing w:after="0"/>
              <w:rPr>
                <w:sz w:val="11"/>
                <w:szCs w:val="11"/>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7"/>
              </w:rPr>
              <w:t>Paid</w:t>
            </w:r>
          </w:p>
        </w:tc>
        <w:tc>
          <w:tcPr>
            <w:tcW w:w="8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-in Capital</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1"/>
              </w:rPr>
              <w:t>Income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10"/>
          </w:tcPr>
          <w:p>
            <w:pPr>
              <w:spacing w:after="0"/>
              <w:rPr>
                <w:sz w:val="20"/>
                <w:szCs w:val="20"/>
                <w:color w:val="auto"/>
              </w:rPr>
            </w:pPr>
            <w:r>
              <w:rPr>
                <w:rFonts w:ascii="Arial" w:cs="Arial" w:eastAsia="Arial" w:hAnsi="Arial"/>
                <w:sz w:val="14"/>
                <w:szCs w:val="14"/>
                <w:b w:val="1"/>
                <w:bCs w:val="1"/>
                <w:color w:val="auto"/>
              </w:rPr>
              <w:t>(dollars in thousands, except share data)</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2007</w:t>
            </w:r>
          </w:p>
        </w:tc>
        <w:tc>
          <w:tcPr>
            <w:tcW w:w="1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28,835,244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2,127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146,355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31,828</w:t>
            </w:r>
          </w:p>
        </w:tc>
        <w:tc>
          <w:tcPr>
            <w:tcW w:w="820" w:type="dxa"/>
            <w:vAlign w:val="bottom"/>
            <w:tcBorders>
              <w:right w:val="single" w:sz="8" w:color="CCEEFF"/>
            </w:tcBorders>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208,090</w:t>
            </w:r>
          </w:p>
        </w:tc>
        <w:tc>
          <w:tcPr>
            <w:tcW w:w="5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388,400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16,894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16,894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Currency translation adjustment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of taxation)</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9,865</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right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9,865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Total comprehensive income</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415,159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issuance costs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Exercise of share options</w:t>
            </w:r>
          </w:p>
        </w:tc>
        <w:tc>
          <w:tcPr>
            <w:tcW w:w="164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151,074</w:t>
            </w:r>
          </w:p>
        </w:tc>
        <w:tc>
          <w:tcPr>
            <w:tcW w:w="7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3,255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3,267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Non-cash stock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224"/>
        </w:trPr>
        <w:tc>
          <w:tcPr>
            <w:tcW w:w="2520" w:type="dxa"/>
            <w:vAlign w:val="bottom"/>
            <w:gridSpan w:val="2"/>
          </w:tcPr>
          <w:p>
            <w:pPr>
              <w:spacing w:after="0"/>
              <w:rPr>
                <w:sz w:val="20"/>
                <w:szCs w:val="20"/>
                <w:color w:val="auto"/>
              </w:rPr>
            </w:pPr>
            <w:r>
              <w:rPr>
                <w:rFonts w:ascii="Arial" w:cs="Arial" w:eastAsia="Arial" w:hAnsi="Arial"/>
                <w:sz w:val="14"/>
                <w:szCs w:val="14"/>
                <w:color w:val="auto"/>
              </w:rPr>
              <w:t>Tax benefit on exercise of</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52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1,390</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31, 2008</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28,986,318</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2,139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152,217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0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41,693</w:t>
            </w:r>
          </w:p>
        </w:tc>
        <w:tc>
          <w:tcPr>
            <w:tcW w:w="820" w:type="dxa"/>
            <w:vAlign w:val="bottom"/>
            <w:tcBorders>
              <w:right w:val="single" w:sz="8" w:color="CCEEFF"/>
            </w:tcBorders>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224,984</w:t>
            </w:r>
          </w:p>
        </w:tc>
        <w:tc>
          <w:tcPr>
            <w:tcW w:w="5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421,033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80" w:right="5680" w:hanging="5669"/>
        <w:spacing w:after="0" w:line="499" w:lineRule="auto"/>
        <w:rPr>
          <w:sz w:val="20"/>
          <w:szCs w:val="20"/>
          <w:color w:val="auto"/>
        </w:rPr>
      </w:pPr>
      <w:r>
        <w:rPr>
          <w:rFonts w:ascii="Arial" w:cs="Arial" w:eastAsia="Arial" w:hAnsi="Arial"/>
          <w:sz w:val="12"/>
          <w:szCs w:val="12"/>
          <w:color w:val="auto"/>
        </w:rPr>
        <w:t>The accompanying notes are an integral part of these condensed consolidated financial statements.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jc w:val="center"/>
        <w:spacing w:after="0" w:line="226"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2008</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Basis of Presentation</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condensed consolidated financial statements should be read in conjunction with the accounting policies and notes to the consolidated financial statements included in ICON’s Form 20-F for the year ended December 31, 2007. Operating results for the three months ended March 31, 2008, are not necessarily indicative of the results that may be expected for the fiscal period ending December 31, 2008.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2. Goodwill</w:t>
            </w:r>
          </w:p>
        </w:tc>
        <w:tc>
          <w:tcPr>
            <w:tcW w:w="2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64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Opening balance</w:t>
            </w:r>
          </w:p>
        </w:tc>
        <w:tc>
          <w:tcPr>
            <w:tcW w:w="2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123,879</w:t>
            </w:r>
          </w:p>
        </w:tc>
        <w:tc>
          <w:tcPr>
            <w:tcW w:w="4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Payments made in respect of current period acquisitions</w:t>
            </w:r>
          </w:p>
        </w:tc>
        <w:tc>
          <w:tcPr>
            <w:tcW w:w="2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11,249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42,081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movement</w:t>
            </w:r>
          </w:p>
        </w:tc>
        <w:tc>
          <w:tcPr>
            <w:tcW w:w="2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3,956</w:t>
            </w:r>
          </w:p>
        </w:tc>
        <w:tc>
          <w:tcPr>
            <w:tcW w:w="4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00" w:type="dxa"/>
            <w:vAlign w:val="bottom"/>
            <w:tcBorders>
              <w:top w:val="single" w:sz="8" w:color="CCEEFF"/>
            </w:tcBorders>
          </w:tcPr>
          <w:p>
            <w:pPr>
              <w:spacing w:after="0"/>
              <w:rPr>
                <w:sz w:val="12"/>
                <w:szCs w:val="12"/>
                <w:color w:val="auto"/>
              </w:rPr>
            </w:pPr>
          </w:p>
        </w:tc>
        <w:tc>
          <w:tcPr>
            <w:tcW w:w="240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Closing balance</w:t>
            </w:r>
          </w:p>
        </w:tc>
        <w:tc>
          <w:tcPr>
            <w:tcW w:w="2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139,084</w:t>
            </w:r>
          </w:p>
        </w:tc>
        <w:tc>
          <w:tcPr>
            <w:tcW w:w="4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7"/>
        </w:trPr>
        <w:tc>
          <w:tcPr>
            <w:tcW w:w="6420" w:type="dxa"/>
            <w:vAlign w:val="bottom"/>
            <w:gridSpan w:val="2"/>
          </w:tcPr>
          <w:p>
            <w:pPr>
              <w:spacing w:after="0"/>
              <w:rPr>
                <w:sz w:val="20"/>
                <w:szCs w:val="20"/>
                <w:color w:val="auto"/>
              </w:rPr>
            </w:pPr>
            <w:r>
              <w:rPr>
                <w:rFonts w:ascii="Arial" w:cs="Arial" w:eastAsia="Arial" w:hAnsi="Arial"/>
                <w:sz w:val="14"/>
                <w:szCs w:val="14"/>
                <w:color w:val="auto"/>
              </w:rPr>
              <w:t>The goodwill balance relates entirely to the clinical research segment.</w:t>
            </w: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Healthcare Discoveries Inc.</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February 11, 2008, the Company acquired 100% of the common stock of Healthcare Discoveries Inc. (“Healthcare Discoveries”) for an initial cash consideration of approximately $11.0 million, excluding costs of acquisition. Healthcare Discoveries, located in San Antonio, Texas, USA, is engaged in the provision of Phase I clinical trial management activities. Further consideration of up to $10.0 million may become payable during the year ended December 31, 2008, if certain performance milestones are achieved.</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The acquisition of Healthcare Discoveries has been accounted for as a purchase in accordance with FASB Statement No. 141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(“SFAS 141”). The following table summarises the fair values of the assets acquired and the liabilities assumed at the date of acquisition.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At February 11,</w:t>
            </w:r>
          </w:p>
        </w:tc>
        <w:tc>
          <w:tcPr>
            <w:tcW w:w="13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2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12"/>
                <w:szCs w:val="12"/>
                <w:color w:val="auto"/>
              </w:rPr>
            </w:pPr>
          </w:p>
        </w:tc>
        <w:tc>
          <w:tcPr>
            <w:tcW w:w="13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52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11,249</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5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13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52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404</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526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(953)</w:t>
            </w:r>
          </w:p>
        </w:tc>
        <w:tc>
          <w:tcPr>
            <w:tcW w:w="13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6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Purchase price</w:t>
            </w:r>
          </w:p>
        </w:tc>
        <w:tc>
          <w:tcPr>
            <w:tcW w:w="5260" w:type="dxa"/>
            <w:vAlign w:val="bottom"/>
            <w:tcBorders>
              <w:top w:val="single" w:sz="8" w:color="auto"/>
              <w:bottom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11,178</w:t>
            </w:r>
          </w:p>
        </w:tc>
        <w:tc>
          <w:tcPr>
            <w:tcW w:w="100" w:type="dxa"/>
            <w:vAlign w:val="bottom"/>
            <w:tcBorders>
              <w:top w:val="single" w:sz="8" w:color="CCEEFF"/>
            </w:tcBorders>
          </w:tcPr>
          <w:p>
            <w:pPr>
              <w:spacing w:after="0"/>
              <w:rPr>
                <w:sz w:val="12"/>
                <w:szCs w:val="12"/>
                <w:color w:val="auto"/>
              </w:rPr>
            </w:pPr>
          </w:p>
        </w:tc>
        <w:tc>
          <w:tcPr>
            <w:tcW w:w="138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60" w:type="dxa"/>
            <w:vAlign w:val="bottom"/>
          </w:tcPr>
          <w:p>
            <w:pPr>
              <w:jc w:val="right"/>
              <w:ind w:right="3148"/>
              <w:spacing w:after="0"/>
              <w:rPr>
                <w:sz w:val="20"/>
                <w:szCs w:val="20"/>
                <w:color w:val="auto"/>
              </w:rPr>
            </w:pPr>
            <w:r>
              <w:rPr>
                <w:rFonts w:ascii="Arial" w:cs="Arial" w:eastAsia="Arial" w:hAnsi="Arial"/>
                <w:sz w:val="14"/>
                <w:szCs w:val="14"/>
                <w:color w:val="auto"/>
              </w:rPr>
              <w:t>7</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52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color w:val="auto"/>
        </w:rPr>
        <w:t>Prior Period Acquisitions</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On July 12, 2007, the Company acquired 100% of the common stock of DOCS International (“DOCS”), a European based clinical research staffing organization, for a cash consideration of approximately $40.6 million (€29.5 million), excluding costs of acquisition.</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The acquisition of DOCS has been accounted for as a purchase in accordance with FASB Statement No. 141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(“SFAS 141”). The following table summarises the fair values of the assets acquired and the liabilities assumed at the date of acquisition.</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At July 12,</w:t>
            </w: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gridSpan w:val="2"/>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32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Arial" w:cs="Arial" w:eastAsia="Arial" w:hAnsi="Arial"/>
                <w:sz w:val="14"/>
                <w:szCs w:val="14"/>
                <w:color w:val="auto"/>
              </w:rPr>
              <w:t>Intangible asset</w:t>
            </w:r>
          </w:p>
        </w:tc>
        <w:tc>
          <w:tcPr>
            <w:tcW w:w="326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2,035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32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42,081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Arial" w:cs="Arial" w:eastAsia="Arial" w:hAnsi="Arial"/>
                <w:sz w:val="14"/>
                <w:szCs w:val="14"/>
                <w:color w:val="auto"/>
              </w:rPr>
              <w:t>Bank overdraft</w:t>
            </w:r>
          </w:p>
        </w:tc>
        <w:tc>
          <w:tcPr>
            <w:tcW w:w="3260" w:type="dxa"/>
            <w:vAlign w:val="bottom"/>
          </w:tcPr>
          <w:p>
            <w:pPr>
              <w:spacing w:after="0"/>
              <w:rPr>
                <w:sz w:val="12"/>
                <w:szCs w:val="12"/>
                <w:color w:val="auto"/>
              </w:rPr>
            </w:pPr>
          </w:p>
        </w:tc>
        <w:tc>
          <w:tcPr>
            <w:tcW w:w="108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(2,400)</w:t>
            </w: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32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7,960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3260" w:type="dxa"/>
            <w:vAlign w:val="bottom"/>
          </w:tcPr>
          <w:p>
            <w:pPr>
              <w:spacing w:after="0"/>
              <w:rPr>
                <w:sz w:val="13"/>
                <w:szCs w:val="13"/>
                <w:color w:val="auto"/>
              </w:rPr>
            </w:pPr>
          </w:p>
        </w:tc>
        <w:tc>
          <w:tcPr>
            <w:tcW w:w="108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(9,510)</w:t>
            </w:r>
          </w:p>
        </w:tc>
      </w:tr>
      <w:tr>
        <w:trPr>
          <w:trHeight w:val="189"/>
        </w:trPr>
        <w:tc>
          <w:tcPr>
            <w:tcW w:w="20" w:type="dxa"/>
            <w:vAlign w:val="bottom"/>
          </w:tcPr>
          <w:p>
            <w:pPr>
              <w:spacing w:after="0"/>
              <w:rPr>
                <w:sz w:val="16"/>
                <w:szCs w:val="16"/>
                <w:color w:val="auto"/>
              </w:rPr>
            </w:pPr>
          </w:p>
        </w:tc>
        <w:tc>
          <w:tcPr>
            <w:tcW w:w="47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Purchase price</w:t>
            </w:r>
          </w:p>
        </w:tc>
        <w:tc>
          <w:tcPr>
            <w:tcW w:w="3260" w:type="dxa"/>
            <w:vAlign w:val="bottom"/>
            <w:tcBorders>
              <w:top w:val="single" w:sz="8" w:color="auto"/>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41,150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 Adoption of the provisions of FASB Interpretation No. 48 </w:t>
      </w:r>
      <w:r>
        <w:rPr>
          <w:rFonts w:ascii="Arial" w:cs="Arial" w:eastAsia="Arial" w:hAnsi="Arial"/>
          <w:sz w:val="14"/>
          <w:szCs w:val="14"/>
          <w:b w:val="1"/>
          <w:bCs w:val="1"/>
          <w:i w:val="1"/>
          <w:iCs w:val="1"/>
          <w:color w:val="auto"/>
        </w:rPr>
        <w:t>Accounting for Uncertainty in Income Taxes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In June 2006, the FASB issued FIN 48, </w:t>
      </w:r>
      <w:r>
        <w:rPr>
          <w:rFonts w:ascii="Arial" w:cs="Arial" w:eastAsia="Arial" w:hAnsi="Arial"/>
          <w:sz w:val="14"/>
          <w:szCs w:val="14"/>
          <w:i w:val="1"/>
          <w:iCs w:val="1"/>
          <w:color w:val="auto"/>
        </w:rPr>
        <w:t>Accounting for Uncertainty in Income Taxes – an Interpretation of FASB Statement No. 109, Accounting for Income Taxes</w:t>
      </w:r>
      <w:r>
        <w:rPr>
          <w:rFonts w:ascii="Arial" w:cs="Arial" w:eastAsia="Arial" w:hAnsi="Arial"/>
          <w:sz w:val="14"/>
          <w:szCs w:val="14"/>
          <w:color w:val="auto"/>
        </w:rPr>
        <w:t xml:space="preserve"> (“FIN 48”). The Interpretation addresses the determination of whether tax benefits claimed or expected to be claimed on a tax return should be recorded in the financial statements.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Under FIN 48, the Company may recognize the tax benefits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recognized upon ultimate settlement.</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FIN 48 also provides guidance on derecognition, classification, interest and penalties on income taxes, accounting in interim periods and requires increased disclosures.</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adopted the provisions of FIN 48 effective January 1, 2007. As at March 31, 2008, the Company maintains a $11.7 million liability for unrecognized tax benefit, which is comprised of $10.0 million related to items generating unrecognized tax benefits and $1.7 million for interest and related penalties to such items. The Company recognizes interest accrued on unrecognized tax benefits as an additional income tax expense.</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2003 through 2007 tax years. The Company does not believe that the outcome of any examination will have a material impact on its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4. Net income per ordinary share</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60" w:type="dxa"/>
            <w:vAlign w:val="bottom"/>
            <w:gridSpan w:val="2"/>
          </w:tcPr>
          <w:p>
            <w:pPr>
              <w:spacing w:after="0"/>
              <w:rPr>
                <w:sz w:val="20"/>
                <w:szCs w:val="20"/>
                <w:color w:val="auto"/>
              </w:rPr>
            </w:pPr>
            <w:r>
              <w:rPr>
                <w:rFonts w:ascii="Arial" w:cs="Arial" w:eastAsia="Arial" w:hAnsi="Arial"/>
                <w:sz w:val="14"/>
                <w:szCs w:val="14"/>
                <w:color w:val="auto"/>
              </w:rPr>
              <w:t>The reconciliation of the number of shares used in the computation of basic and diluted net income per ordinary share is as follows: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0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9"/>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0" w:type="dxa"/>
            <w:vAlign w:val="bottom"/>
            <w:vMerge w:val="restart"/>
          </w:tcPr>
          <w:p>
            <w:pPr>
              <w:spacing w:after="0"/>
              <w:rPr>
                <w:sz w:val="12"/>
                <w:szCs w:val="12"/>
                <w:color w:val="auto"/>
              </w:rPr>
            </w:pPr>
          </w:p>
        </w:tc>
        <w:tc>
          <w:tcPr>
            <w:tcW w:w="8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vMerge w:val="continue"/>
          </w:tcPr>
          <w:p>
            <w:pPr>
              <w:spacing w:after="0"/>
              <w:rPr>
                <w:sz w:val="12"/>
                <w:szCs w:val="12"/>
                <w:color w:val="auto"/>
              </w:rPr>
            </w:pPr>
          </w:p>
        </w:tc>
        <w:tc>
          <w:tcPr>
            <w:tcW w:w="8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ordinary shares outstanding for basic net income per ordinary share</w:t>
            </w:r>
          </w:p>
        </w:tc>
        <w:tc>
          <w:tcPr>
            <w:tcW w:w="10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28,902,630</w:t>
            </w:r>
          </w:p>
        </w:tc>
        <w:tc>
          <w:tcPr>
            <w:tcW w:w="40" w:type="dxa"/>
            <w:vAlign w:val="bottom"/>
            <w:shd w:val="clear" w:color="auto" w:fill="CCEEFF"/>
          </w:tcPr>
          <w:p>
            <w:pPr>
              <w:spacing w:after="0"/>
              <w:rPr>
                <w:sz w:val="12"/>
                <w:szCs w:val="12"/>
                <w:color w:val="auto"/>
              </w:rPr>
            </w:pPr>
          </w:p>
        </w:tc>
        <w:tc>
          <w:tcPr>
            <w:tcW w:w="128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28,564,498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8360" w:type="dxa"/>
            <w:vAlign w:val="bottom"/>
          </w:tcPr>
          <w:p>
            <w:pPr>
              <w:spacing w:after="0" w:line="149" w:lineRule="exact"/>
              <w:rPr>
                <w:sz w:val="20"/>
                <w:szCs w:val="20"/>
                <w:color w:val="auto"/>
              </w:rPr>
            </w:pPr>
            <w:r>
              <w:rPr>
                <w:rFonts w:ascii="Arial" w:cs="Arial" w:eastAsia="Arial" w:hAnsi="Arial"/>
                <w:sz w:val="14"/>
                <w:szCs w:val="14"/>
                <w:color w:val="auto"/>
              </w:rPr>
              <w:t>Effect of dilutive share options outstanding</w:t>
            </w:r>
          </w:p>
        </w:tc>
        <w:tc>
          <w:tcPr>
            <w:tcW w:w="106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1,137,106</w:t>
            </w:r>
          </w:p>
        </w:tc>
        <w:tc>
          <w:tcPr>
            <w:tcW w:w="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right"/>
              <w:ind w:right="20"/>
              <w:spacing w:after="0" w:line="149" w:lineRule="exact"/>
              <w:rPr>
                <w:sz w:val="20"/>
                <w:szCs w:val="20"/>
                <w:color w:val="auto"/>
              </w:rPr>
            </w:pPr>
            <w:r>
              <w:rPr>
                <w:rFonts w:ascii="Arial" w:cs="Arial" w:eastAsia="Arial" w:hAnsi="Arial"/>
                <w:sz w:val="14"/>
                <w:szCs w:val="14"/>
                <w:color w:val="auto"/>
              </w:rPr>
              <w:t>944,164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3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ordinary shares for diluted net income per ordinary share</w:t>
            </w:r>
          </w:p>
        </w:tc>
        <w:tc>
          <w:tcPr>
            <w:tcW w:w="1060" w:type="dxa"/>
            <w:vAlign w:val="bottom"/>
            <w:tcBorders>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30,039,736</w:t>
            </w:r>
          </w:p>
        </w:tc>
        <w:tc>
          <w:tcPr>
            <w:tcW w:w="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29,508,662</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Stock Options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January 17, 2003, the Company adopted the Share Option Plan 2003 (the “2003 Plan”) pursuant to which the Compensation Committee of the Company’s Board of Directors may grant options to officers and other employees of the Company or its subsidiaries for the purchase of ordinary shares. Each option will be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9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An aggregate of 3.0 million ordinary shares have been reserved under the 2003 Plan;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200,000 ordinary shares.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No options can be granted after January 17, 2013.</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 xml:space="preserve">In December 2004, the FASB issued FASB Statement No. 123R (revised 2004), </w:t>
      </w:r>
      <w:r>
        <w:rPr>
          <w:rFonts w:ascii="Arial" w:cs="Arial" w:eastAsia="Arial" w:hAnsi="Arial"/>
          <w:sz w:val="14"/>
          <w:szCs w:val="14"/>
          <w:i w:val="1"/>
          <w:iCs w:val="1"/>
          <w:color w:val="auto"/>
        </w:rPr>
        <w:t>Share Based Payment</w:t>
      </w:r>
      <w:r>
        <w:rPr>
          <w:rFonts w:ascii="Arial" w:cs="Arial" w:eastAsia="Arial" w:hAnsi="Arial"/>
          <w:sz w:val="14"/>
          <w:szCs w:val="14"/>
          <w:color w:val="auto"/>
        </w:rPr>
        <w:t xml:space="preserve"> (“SFAS 123R”) which replaced FASB Statement No. 123 </w:t>
      </w:r>
      <w:r>
        <w:rPr>
          <w:rFonts w:ascii="Arial" w:cs="Arial" w:eastAsia="Arial" w:hAnsi="Arial"/>
          <w:sz w:val="14"/>
          <w:szCs w:val="14"/>
          <w:i w:val="1"/>
          <w:iCs w:val="1"/>
          <w:color w:val="auto"/>
        </w:rPr>
        <w:t>Accounting for Stock-Based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w:t>
      </w:r>
      <w:r>
        <w:rPr>
          <w:rFonts w:ascii="Arial" w:cs="Arial" w:eastAsia="Arial" w:hAnsi="Arial"/>
          <w:sz w:val="14"/>
          <w:szCs w:val="14"/>
          <w:color w:val="auto"/>
        </w:rPr>
        <w:t>(“SFAS 123”) and supersedes Accounting Principles Board Opinion No. 25</w:t>
      </w:r>
      <w:r>
        <w:rPr>
          <w:rFonts w:ascii="Arial" w:cs="Arial" w:eastAsia="Arial" w:hAnsi="Arial"/>
          <w:sz w:val="14"/>
          <w:szCs w:val="14"/>
          <w:i w:val="1"/>
          <w:iCs w:val="1"/>
          <w:color w:val="auto"/>
        </w:rPr>
        <w:t xml:space="preserve"> Accounting for Stock Issued to Employees </w:t>
      </w:r>
      <w:r>
        <w:rPr>
          <w:rFonts w:ascii="Arial" w:cs="Arial" w:eastAsia="Arial" w:hAnsi="Arial"/>
          <w:sz w:val="14"/>
          <w:szCs w:val="14"/>
          <w:color w:val="auto"/>
        </w:rPr>
        <w:t>(APB No. 25). SFAS 123R requires, with effect from</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periods beginning after June 15, 2005, that all share based payments to employees, including stock options granted, be recognized in the financial statements based on their grant date fair values.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 has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three months ended March 31, 2008, and March 31, 2007,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 The following table summarizes option activity for the three months ended March 31, 2008:</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Weighted</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Outstanding</w:t>
            </w:r>
          </w:p>
        </w:tc>
        <w:tc>
          <w:tcPr>
            <w:tcW w:w="40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Exercise</w:t>
            </w:r>
          </w:p>
        </w:tc>
        <w:tc>
          <w:tcPr>
            <w:tcW w:w="380" w:type="dxa"/>
            <w:vAlign w:val="bottom"/>
          </w:tcPr>
          <w:p>
            <w:pPr>
              <w:spacing w:after="0"/>
              <w:rPr>
                <w:sz w:val="12"/>
                <w:szCs w:val="12"/>
                <w:color w:val="auto"/>
              </w:rPr>
            </w:pPr>
          </w:p>
        </w:tc>
        <w:tc>
          <w:tcPr>
            <w:tcW w:w="116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Average</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w:t>
            </w:r>
          </w:p>
        </w:tc>
        <w:tc>
          <w:tcPr>
            <w:tcW w:w="380" w:type="dxa"/>
            <w:vAlign w:val="bottom"/>
          </w:tcPr>
          <w:p>
            <w:pPr>
              <w:spacing w:after="0"/>
              <w:rPr>
                <w:sz w:val="16"/>
                <w:szCs w:val="16"/>
                <w:color w:val="auto"/>
              </w:rPr>
            </w:pPr>
          </w:p>
        </w:tc>
        <w:tc>
          <w:tcPr>
            <w:tcW w:w="1160" w:type="dxa"/>
            <w:vAlign w:val="bottom"/>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 2007</w:t>
            </w:r>
          </w:p>
        </w:tc>
        <w:tc>
          <w:tcPr>
            <w:tcW w:w="13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2,488,063</w:t>
            </w:r>
          </w:p>
        </w:tc>
        <w:tc>
          <w:tcPr>
            <w:tcW w:w="40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24.53</w:t>
            </w:r>
          </w:p>
        </w:tc>
        <w:tc>
          <w:tcPr>
            <w:tcW w:w="3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10.70</w:t>
            </w:r>
          </w:p>
        </w:tc>
        <w:tc>
          <w:tcPr>
            <w:tcW w:w="10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3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623,483</w:t>
            </w:r>
          </w:p>
        </w:tc>
        <w:tc>
          <w:tcPr>
            <w:tcW w:w="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70.66</w:t>
            </w:r>
          </w:p>
        </w:tc>
        <w:tc>
          <w:tcPr>
            <w:tcW w:w="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25.84</w:t>
            </w: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Exercised</w:t>
            </w:r>
          </w:p>
        </w:tc>
        <w:tc>
          <w:tcPr>
            <w:tcW w:w="13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(151,074)</w:t>
            </w:r>
          </w:p>
        </w:tc>
        <w:tc>
          <w:tcPr>
            <w:tcW w:w="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21.63</w:t>
            </w:r>
          </w:p>
        </w:tc>
        <w:tc>
          <w:tcPr>
            <w:tcW w:w="3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9.54</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3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(17,678)</w:t>
            </w:r>
          </w:p>
        </w:tc>
        <w:tc>
          <w:tcPr>
            <w:tcW w:w="40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26.20</w:t>
            </w:r>
          </w:p>
        </w:tc>
        <w:tc>
          <w:tcPr>
            <w:tcW w:w="3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10.99</w:t>
            </w:r>
          </w:p>
        </w:tc>
        <w:tc>
          <w:tcPr>
            <w:tcW w:w="10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March 31, 2008</w:t>
            </w:r>
          </w:p>
        </w:tc>
        <w:tc>
          <w:tcPr>
            <w:tcW w:w="13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2,942,794</w:t>
            </w:r>
          </w:p>
        </w:tc>
        <w:tc>
          <w:tcPr>
            <w:tcW w:w="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34.44</w:t>
            </w:r>
          </w:p>
        </w:tc>
        <w:tc>
          <w:tcPr>
            <w:tcW w:w="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13.97</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Exercisable at March 31, 2008</w:t>
            </w:r>
          </w:p>
        </w:tc>
        <w:tc>
          <w:tcPr>
            <w:tcW w:w="13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991,156</w:t>
            </w:r>
          </w:p>
        </w:tc>
        <w:tc>
          <w:tcPr>
            <w:tcW w:w="40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21.06</w:t>
            </w:r>
          </w:p>
        </w:tc>
        <w:tc>
          <w:tcPr>
            <w:tcW w:w="3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9.11</w:t>
            </w: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2008, is eight years.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weighted average fair value of stock options granted during the three months ended March 31, 2008, calculated using the Black-Scholes option pricing model, was $25.84 based on the following assumptions; dividend yield - 0%, risk free interest rate – 3.2%, expected volatility - 35% and weighted average expected life – 5.11 years.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Expected volatility is based on historical volatility of our common stock over a period equal to the expected life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gilts zero-coupon yield curve in effect at time of grant for periods corresponding with the expected life of the option.</w:t>
      </w:r>
    </w:p>
    <w:p>
      <w:pPr>
        <w:spacing w:after="0" w:line="210"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Income from operations for the three months ended March 31, 2008, is stated after charging $1.3 million in respect of non-cash stock compensation expense. Basic and diluted earnings per share for the three months ended March 31, 2008, had SFAS 123R not been introduced would have been $0.63 and $0.60 respectively. Non-cash stock compensation expense for the three months ended March 31, 2008, has been allocated to direct costs and selling, general and administrative expenses as follows:</w:t>
      </w:r>
    </w:p>
    <w:p>
      <w:pPr>
        <w:sectPr>
          <w:pgSz w:w="11900" w:h="16838" w:orient="portrait"/>
          <w:cols w:equalWidth="0" w:num="1">
            <w:col w:w="11420"/>
          </w:cols>
          <w:pgMar w:left="240" w:top="8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Direct costs</w:t>
      </w:r>
    </w:p>
    <w:p>
      <w:pPr>
        <w:spacing w:after="0"/>
        <w:rPr>
          <w:sz w:val="20"/>
          <w:szCs w:val="20"/>
          <w:color w:val="auto"/>
        </w:rPr>
      </w:pPr>
      <w:r>
        <w:rPr>
          <w:rFonts w:ascii="Arial" w:cs="Arial" w:eastAsia="Arial" w:hAnsi="Arial"/>
          <w:sz w:val="13"/>
          <w:szCs w:val="13"/>
          <w:color w:val="auto"/>
        </w:rPr>
        <w:t>Selling, general and administrative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9"/>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3"/>
          </w:tcPr>
          <w:p>
            <w:pPr>
              <w:jc w:val="right"/>
              <w:ind w:right="28"/>
              <w:spacing w:after="0" w:line="129" w:lineRule="exact"/>
              <w:rPr>
                <w:sz w:val="20"/>
                <w:szCs w:val="20"/>
                <w:color w:val="auto"/>
              </w:rPr>
            </w:pPr>
            <w:r>
              <w:rPr>
                <w:rFonts w:ascii="Arial" w:cs="Arial" w:eastAsia="Arial" w:hAnsi="Arial"/>
                <w:sz w:val="14"/>
                <w:szCs w:val="14"/>
                <w:b w:val="1"/>
                <w:bCs w:val="1"/>
                <w:color w:val="auto"/>
                <w:w w:val="83"/>
              </w:rPr>
              <w:t>March 31,</w:t>
            </w: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640" w:type="dxa"/>
            <w:vAlign w:val="bottom"/>
            <w:gridSpan w:val="2"/>
            <w:vMerge w:val="restart"/>
          </w:tcPr>
          <w:p>
            <w:pPr>
              <w:jc w:val="center"/>
              <w:ind w:right="28"/>
              <w:spacing w:after="0"/>
              <w:rPr>
                <w:sz w:val="20"/>
                <w:szCs w:val="20"/>
                <w:color w:val="auto"/>
              </w:rPr>
            </w:pPr>
            <w:r>
              <w:rPr>
                <w:rFonts w:ascii="Arial" w:cs="Arial" w:eastAsia="Arial" w:hAnsi="Arial"/>
                <w:sz w:val="14"/>
                <w:szCs w:val="14"/>
                <w:b w:val="1"/>
                <w:bCs w:val="1"/>
                <w:color w:val="auto"/>
                <w:w w:val="71"/>
              </w:rPr>
              <w:t>thousands)</w:t>
            </w:r>
          </w:p>
        </w:tc>
        <w:tc>
          <w:tcPr>
            <w:tcW w:w="80" w:type="dxa"/>
            <w:vAlign w:val="bottom"/>
          </w:tcPr>
          <w:p>
            <w:pPr>
              <w:spacing w:after="0"/>
              <w:rPr>
                <w:sz w:val="11"/>
                <w:szCs w:val="11"/>
                <w:color w:val="auto"/>
              </w:rPr>
            </w:pPr>
          </w:p>
        </w:tc>
        <w:tc>
          <w:tcPr>
            <w:tcW w:w="6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20"/>
                <w:szCs w:val="20"/>
                <w:color w:val="auto"/>
              </w:rPr>
            </w:pPr>
          </w:p>
        </w:tc>
        <w:tc>
          <w:tcPr>
            <w:tcW w:w="540" w:type="dxa"/>
            <w:vAlign w:val="bottom"/>
          </w:tcPr>
          <w:p>
            <w:pPr>
              <w:jc w:val="center"/>
              <w:ind w:right="168"/>
              <w:spacing w:after="0"/>
              <w:rPr>
                <w:sz w:val="20"/>
                <w:szCs w:val="20"/>
                <w:color w:val="auto"/>
              </w:rPr>
            </w:pPr>
            <w:r>
              <w:rPr>
                <w:rFonts w:ascii="Arial" w:cs="Arial" w:eastAsia="Arial" w:hAnsi="Arial"/>
                <w:sz w:val="14"/>
                <w:szCs w:val="14"/>
                <w:color w:val="auto"/>
                <w:w w:val="76"/>
              </w:rPr>
              <w:t>$</w:t>
            </w:r>
          </w:p>
        </w:tc>
        <w:tc>
          <w:tcPr>
            <w:tcW w:w="740" w:type="dxa"/>
            <w:vAlign w:val="bottom"/>
            <w:gridSpan w:val="5"/>
          </w:tcPr>
          <w:p>
            <w:pPr>
              <w:jc w:val="right"/>
              <w:ind w:right="20"/>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74"/>
        </w:trPr>
        <w:tc>
          <w:tcPr>
            <w:tcW w:w="5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97"/>
        </w:trPr>
        <w:tc>
          <w:tcPr>
            <w:tcW w:w="520" w:type="dxa"/>
            <w:vAlign w:val="bottom"/>
            <w:tcBorders>
              <w:bottom w:val="single" w:sz="8" w:color="auto"/>
            </w:tcBorders>
          </w:tcPr>
          <w:p>
            <w:pPr>
              <w:jc w:val="right"/>
              <w:ind w:right="40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color w:val="auto"/>
              </w:rPr>
              <w:t>1,254</w:t>
            </w:r>
          </w:p>
        </w:tc>
        <w:tc>
          <w:tcPr>
            <w:tcW w:w="5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-427990</wp:posOffset>
            </wp:positionV>
            <wp:extent cx="72466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-222250</wp:posOffset>
            </wp:positionV>
            <wp:extent cx="724662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834" w:right="2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34"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82"/>
        </w:trPr>
        <w:tc>
          <w:tcPr>
            <w:tcW w:w="6760" w:type="dxa"/>
            <w:vAlign w:val="bottom"/>
            <w:gridSpan w:val="2"/>
          </w:tcPr>
          <w:p>
            <w:pPr>
              <w:spacing w:after="0"/>
              <w:rPr>
                <w:sz w:val="20"/>
                <w:szCs w:val="20"/>
                <w:color w:val="auto"/>
              </w:rPr>
            </w:pPr>
            <w:r>
              <w:rPr>
                <w:rFonts w:ascii="Arial" w:cs="Arial" w:eastAsia="Arial" w:hAnsi="Arial"/>
                <w:sz w:val="14"/>
                <w:szCs w:val="14"/>
                <w:color w:val="auto"/>
              </w:rPr>
              <w:t>Non vested shares outstanding as at March 31, 2008, are as follows:</w:t>
            </w:r>
          </w:p>
        </w:tc>
        <w:tc>
          <w:tcPr>
            <w:tcW w:w="15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9"/>
                <w:szCs w:val="9"/>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5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15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Number of Shares</w:t>
            </w:r>
          </w:p>
        </w:tc>
        <w:tc>
          <w:tcPr>
            <w:tcW w:w="200" w:type="dxa"/>
            <w:vAlign w:val="bottom"/>
          </w:tcPr>
          <w:p>
            <w:pPr>
              <w:spacing w:after="0"/>
              <w:rPr>
                <w:sz w:val="16"/>
                <w:szCs w:val="16"/>
                <w:color w:val="auto"/>
              </w:rPr>
            </w:pP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December 31, 2007</w:t>
            </w:r>
          </w:p>
        </w:tc>
        <w:tc>
          <w:tcPr>
            <w:tcW w:w="1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1,808,949</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26.47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740" w:type="dxa"/>
            <w:vAlign w:val="bottom"/>
            <w:tcBorders>
              <w:top w:val="single" w:sz="8" w:color="CCEEFF"/>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623,483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70.66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Arial" w:cs="Arial" w:eastAsia="Arial" w:hAnsi="Arial"/>
                <w:sz w:val="14"/>
                <w:szCs w:val="14"/>
                <w:color w:val="auto"/>
              </w:rPr>
              <w:t>Vested</w:t>
            </w: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(467,244)</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23.77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5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(13,550)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25.52</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740" w:type="dxa"/>
            <w:vAlign w:val="bottom"/>
            <w:tcBorders>
              <w:top w:val="single" w:sz="8" w:color="CCEEFF"/>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March 31, 2008</w:t>
            </w:r>
          </w:p>
        </w:tc>
        <w:tc>
          <w:tcPr>
            <w:tcW w:w="15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1,951,638</w:t>
            </w: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41.24</w:t>
            </w: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16.43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As at March 31, 2008, total unrecognized compensation cost related to unvested options, which the Company expects to recognize over a weighted average period of 2.74 years, amounted to $21.5 million. The Company has granted options with fair values ranging from $6.34 to $25.84 per option or a weighted average fair value of $11.53 per option. The Company issues new ordinary shares for all options exercised. The total amount of fully vested share options which remained outstanding at March 31, 2008, was 991,156. Fully vested share options at March 31, 2008, have an average remaining contractual term of 4.53 years, an average exercise price of $21.06 and a total intrinsic value of $43.4 million. The total intrinsic value of options exercised during the three months ended March 31, 2008, was $6.5 million (March 31, 2007: $4.09 million).</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Business Segment Information</w:t>
      </w:r>
    </w:p>
    <w:p>
      <w:pPr>
        <w:spacing w:after="0" w:line="235" w:lineRule="exact"/>
        <w:rPr>
          <w:sz w:val="20"/>
          <w:szCs w:val="20"/>
          <w:color w:val="auto"/>
        </w:rPr>
      </w:pPr>
    </w:p>
    <w:p>
      <w:pPr>
        <w:ind w:right="120"/>
        <w:spacing w:after="0" w:line="238" w:lineRule="auto"/>
        <w:rPr>
          <w:sz w:val="20"/>
          <w:szCs w:val="20"/>
          <w:color w:val="auto"/>
        </w:rPr>
      </w:pPr>
      <w:r>
        <w:rPr>
          <w:rFonts w:ascii="Arial" w:cs="Arial" w:eastAsia="Arial" w:hAnsi="Arial"/>
          <w:sz w:val="14"/>
          <w:szCs w:val="14"/>
          <w:color w:val="auto"/>
        </w:rPr>
        <w:t>The Company operates predominantly in the contract clinical research industry providing a broad range of clinical research and integrated product development services on a global basis for the pharmaceutical and biotechnology industries. The Company also has a central laboratory segment primarily based in New York, USA. This, together with laboratory services based in Dublin, form the central laboratory segment information disclosed below.</w:t>
      </w:r>
    </w:p>
    <w:p>
      <w:pPr>
        <w:spacing w:after="0" w:line="210" w:lineRule="exact"/>
        <w:rPr>
          <w:sz w:val="20"/>
          <w:szCs w:val="20"/>
          <w:color w:val="auto"/>
        </w:rPr>
      </w:pPr>
    </w:p>
    <w:p>
      <w:pPr>
        <w:ind w:right="140"/>
        <w:spacing w:after="0" w:line="234" w:lineRule="auto"/>
        <w:rPr>
          <w:sz w:val="20"/>
          <w:szCs w:val="20"/>
          <w:color w:val="auto"/>
        </w:rPr>
      </w:pPr>
      <w:r>
        <w:rPr>
          <w:rFonts w:ascii="Arial" w:cs="Arial" w:eastAsia="Arial" w:hAnsi="Arial"/>
          <w:sz w:val="14"/>
          <w:szCs w:val="14"/>
          <w:color w:val="auto"/>
        </w:rPr>
        <w:t>The Company's areas of operation outside of Ireland principally include the United States, United Kingdom, France, Germany, Spain, Italy, The Netherlands, Denmark, Sweden, Finland, Russia, Latvia, Lithuania, Ukraine, Poland, Romania, Czech Republic, Hungary, Israel, Australia, New Zealand, Japan, South Korea, China, Taiwan, Hong Kong, Thailand, Singapore, India, South Africa, Canada, Mexico, Brazil, Peru, Argentina and Chile. Segment information for the three months ended March 31, 2008, the three months ended March 31, 2007, and as at March 31, 2008, and December 31, 2007, is as follows: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6160" w:type="dxa"/>
            <w:vAlign w:val="bottom"/>
          </w:tcPr>
          <w:p>
            <w:pPr>
              <w:ind w:left="80"/>
              <w:spacing w:after="0"/>
              <w:rPr>
                <w:sz w:val="20"/>
                <w:szCs w:val="20"/>
                <w:color w:val="auto"/>
              </w:rPr>
            </w:pPr>
            <w:r>
              <w:rPr>
                <w:rFonts w:ascii="Arial" w:cs="Arial" w:eastAsia="Arial" w:hAnsi="Arial"/>
                <w:sz w:val="14"/>
                <w:szCs w:val="14"/>
                <w:color w:val="auto"/>
              </w:rPr>
              <w:t>a) The distribution of net revenue by geographical area was as follows:</w:t>
            </w:r>
          </w:p>
        </w:tc>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6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March 31,</w:t>
            </w:r>
          </w:p>
        </w:tc>
        <w:tc>
          <w:tcPr>
            <w:tcW w:w="480" w:type="dxa"/>
            <w:vAlign w:val="bottom"/>
          </w:tcPr>
          <w:p>
            <w:pPr>
              <w:spacing w:after="0"/>
              <w:rPr>
                <w:sz w:val="11"/>
                <w:szCs w:val="11"/>
                <w:color w:val="auto"/>
              </w:rPr>
            </w:pPr>
          </w:p>
        </w:tc>
        <w:tc>
          <w:tcPr>
            <w:tcW w:w="640" w:type="dxa"/>
            <w:vAlign w:val="bottom"/>
            <w:gridSpan w:val="4"/>
          </w:tcPr>
          <w:p>
            <w:pPr>
              <w:jc w:val="right"/>
              <w:ind w:right="20"/>
              <w:spacing w:after="0" w:line="12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29"/>
        </w:trPr>
        <w:tc>
          <w:tcPr>
            <w:tcW w:w="61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6"/>
          </w:tcPr>
          <w:p>
            <w:pPr>
              <w:jc w:val="right"/>
              <w:ind w:right="360"/>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23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35,438</w:t>
            </w:r>
          </w:p>
        </w:tc>
        <w:tc>
          <w:tcPr>
            <w:tcW w:w="4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22,703</w:t>
            </w:r>
          </w:p>
        </w:tc>
        <w:tc>
          <w:tcPr>
            <w:tcW w:w="0" w:type="dxa"/>
            <w:vAlign w:val="bottom"/>
          </w:tcPr>
          <w:p>
            <w:pPr>
              <w:spacing w:after="0"/>
              <w:rPr>
                <w:sz w:val="1"/>
                <w:szCs w:val="1"/>
                <w:color w:val="auto"/>
              </w:rPr>
            </w:pPr>
          </w:p>
        </w:tc>
      </w:tr>
      <w:tr>
        <w:trPr>
          <w:trHeight w:val="149"/>
        </w:trPr>
        <w:tc>
          <w:tcPr>
            <w:tcW w:w="616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236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57,706</w:t>
            </w:r>
          </w:p>
        </w:tc>
        <w:tc>
          <w:tcPr>
            <w:tcW w:w="480" w:type="dxa"/>
            <w:vAlign w:val="bottom"/>
          </w:tcPr>
          <w:p>
            <w:pPr>
              <w:spacing w:after="0"/>
              <w:rPr>
                <w:sz w:val="12"/>
                <w:szCs w:val="12"/>
                <w:color w:val="auto"/>
              </w:rPr>
            </w:pPr>
          </w:p>
        </w:tc>
        <w:tc>
          <w:tcPr>
            <w:tcW w:w="6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32,096</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23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92,098</w:t>
            </w:r>
          </w:p>
        </w:tc>
        <w:tc>
          <w:tcPr>
            <w:tcW w:w="4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72,970</w:t>
            </w:r>
          </w:p>
        </w:tc>
        <w:tc>
          <w:tcPr>
            <w:tcW w:w="0" w:type="dxa"/>
            <w:vAlign w:val="bottom"/>
          </w:tcPr>
          <w:p>
            <w:pPr>
              <w:spacing w:after="0"/>
              <w:rPr>
                <w:sz w:val="1"/>
                <w:szCs w:val="1"/>
                <w:color w:val="auto"/>
              </w:rPr>
            </w:pPr>
          </w:p>
        </w:tc>
      </w:tr>
      <w:tr>
        <w:trPr>
          <w:trHeight w:val="156"/>
        </w:trPr>
        <w:tc>
          <w:tcPr>
            <w:tcW w:w="61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2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16,102</w:t>
            </w:r>
          </w:p>
        </w:tc>
        <w:tc>
          <w:tcPr>
            <w:tcW w:w="4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4"/>
          </w:tcPr>
          <w:p>
            <w:pPr>
              <w:jc w:val="right"/>
              <w:ind w:right="20"/>
              <w:spacing w:after="0" w:line="149" w:lineRule="exact"/>
              <w:rPr>
                <w:sz w:val="20"/>
                <w:szCs w:val="20"/>
                <w:color w:val="auto"/>
              </w:rPr>
            </w:pPr>
            <w:r>
              <w:rPr>
                <w:rFonts w:ascii="Arial" w:cs="Arial" w:eastAsia="Arial" w:hAnsi="Arial"/>
                <w:sz w:val="14"/>
                <w:szCs w:val="14"/>
                <w:color w:val="auto"/>
              </w:rPr>
              <w:t>8,320</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60" w:type="dxa"/>
            <w:vAlign w:val="bottom"/>
          </w:tcPr>
          <w:p>
            <w:pPr>
              <w:spacing w:after="0"/>
              <w:rPr>
                <w:sz w:val="15"/>
                <w:szCs w:val="15"/>
                <w:color w:val="auto"/>
              </w:rPr>
            </w:pPr>
          </w:p>
        </w:tc>
        <w:tc>
          <w:tcPr>
            <w:tcW w:w="23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201,344</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gridSpan w:val="4"/>
          </w:tcPr>
          <w:p>
            <w:pPr>
              <w:jc w:val="right"/>
              <w:ind w:right="20"/>
              <w:spacing w:after="0"/>
              <w:rPr>
                <w:sz w:val="20"/>
                <w:szCs w:val="20"/>
                <w:color w:val="auto"/>
              </w:rPr>
            </w:pPr>
            <w:r>
              <w:rPr>
                <w:rFonts w:ascii="Arial" w:cs="Arial" w:eastAsia="Arial" w:hAnsi="Arial"/>
                <w:sz w:val="14"/>
                <w:szCs w:val="14"/>
                <w:color w:val="auto"/>
              </w:rPr>
              <w:t>136,089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580"/>
        <w:spacing w:after="0" w:line="203" w:lineRule="auto"/>
        <w:rPr>
          <w:sz w:val="20"/>
          <w:szCs w:val="20"/>
          <w:color w:val="auto"/>
        </w:rPr>
      </w:pPr>
      <w:r>
        <w:rPr>
          <w:rFonts w:ascii="Arial" w:cs="Arial" w:eastAsia="Arial" w:hAnsi="Arial"/>
          <w:sz w:val="5"/>
          <w:szCs w:val="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65176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p>
      <w:pPr>
        <w:spacing w:after="0" w:line="8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All sales shown for Ireland are export sales.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2"/>
        </w:trPr>
        <w:tc>
          <w:tcPr>
            <w:tcW w:w="160" w:type="dxa"/>
            <w:vAlign w:val="bottom"/>
          </w:tcPr>
          <w:p>
            <w:pPr>
              <w:spacing w:after="0"/>
              <w:rPr>
                <w:sz w:val="20"/>
                <w:szCs w:val="20"/>
                <w:color w:val="auto"/>
              </w:rPr>
            </w:pPr>
            <w:r>
              <w:rPr>
                <w:rFonts w:ascii="Arial" w:cs="Arial" w:eastAsia="Arial" w:hAnsi="Arial"/>
                <w:sz w:val="14"/>
                <w:szCs w:val="14"/>
                <w:color w:val="auto"/>
              </w:rPr>
              <w:t>b)</w:t>
            </w:r>
          </w:p>
        </w:tc>
        <w:tc>
          <w:tcPr>
            <w:tcW w:w="7140" w:type="dxa"/>
            <w:vAlign w:val="bottom"/>
            <w:gridSpan w:val="3"/>
          </w:tcPr>
          <w:p>
            <w:pPr>
              <w:ind w:left="40"/>
              <w:spacing w:after="0"/>
              <w:rPr>
                <w:sz w:val="20"/>
                <w:szCs w:val="20"/>
                <w:color w:val="auto"/>
              </w:rPr>
            </w:pPr>
            <w:r>
              <w:rPr>
                <w:rFonts w:ascii="Arial" w:cs="Arial" w:eastAsia="Arial" w:hAnsi="Arial"/>
                <w:sz w:val="14"/>
                <w:szCs w:val="14"/>
                <w:color w:val="auto"/>
              </w:rPr>
              <w:t>The distribution of net revenue by business segment was as follows:</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7"/>
              </w:rPr>
              <w:t>March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8"/>
          </w:tcPr>
          <w:p>
            <w:pPr>
              <w:jc w:val="right"/>
              <w:ind w:right="34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1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16,408</w:t>
            </w:r>
          </w:p>
        </w:tc>
        <w:tc>
          <w:tcPr>
            <w:tcW w:w="120" w:type="dxa"/>
            <w:vAlign w:val="bottom"/>
            <w:tcBorders>
              <w:lef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13,077</w:t>
            </w:r>
          </w:p>
        </w:tc>
        <w:tc>
          <w:tcPr>
            <w:tcW w:w="5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1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rPr>
              <w:t>184,936</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123,012</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6"/>
          </w:tcPr>
          <w:p>
            <w:pPr>
              <w:jc w:val="right"/>
              <w:spacing w:after="0"/>
              <w:rPr>
                <w:sz w:val="20"/>
                <w:szCs w:val="20"/>
                <w:color w:val="auto"/>
              </w:rPr>
            </w:pPr>
            <w:r>
              <w:rPr>
                <w:rFonts w:ascii="Arial" w:cs="Arial" w:eastAsia="Arial" w:hAnsi="Arial"/>
                <w:sz w:val="14"/>
                <w:szCs w:val="14"/>
                <w:color w:val="auto"/>
              </w:rPr>
              <w:t>201,344</w:t>
            </w:r>
          </w:p>
        </w:tc>
        <w:tc>
          <w:tcPr>
            <w:tcW w:w="120" w:type="dxa"/>
            <w:vAlign w:val="bottom"/>
          </w:tcPr>
          <w:p>
            <w:pPr>
              <w:spacing w:after="0"/>
              <w:rPr>
                <w:sz w:val="15"/>
                <w:szCs w:val="15"/>
                <w:color w:val="auto"/>
              </w:rPr>
            </w:pPr>
          </w:p>
        </w:tc>
        <w:tc>
          <w:tcPr>
            <w:tcW w:w="380" w:type="dxa"/>
            <w:vAlign w:val="bottom"/>
            <w:gridSpan w:val="2"/>
          </w:tcPr>
          <w:p>
            <w:pPr>
              <w:jc w:val="right"/>
              <w:ind w:right="228"/>
              <w:spacing w:after="0"/>
              <w:rPr>
                <w:sz w:val="20"/>
                <w:szCs w:val="20"/>
                <w:color w:val="auto"/>
              </w:rPr>
            </w:pPr>
            <w:r>
              <w:rPr>
                <w:rFonts w:ascii="Arial" w:cs="Arial" w:eastAsia="Arial" w:hAnsi="Arial"/>
                <w:sz w:val="14"/>
                <w:szCs w:val="14"/>
                <w:color w:val="auto"/>
                <w:w w:val="76"/>
              </w:rPr>
              <w:t>$</w:t>
            </w:r>
          </w:p>
        </w:tc>
        <w:tc>
          <w:tcPr>
            <w:tcW w:w="620" w:type="dxa"/>
            <w:vAlign w:val="bottom"/>
            <w:gridSpan w:val="4"/>
          </w:tcPr>
          <w:p>
            <w:pPr>
              <w:jc w:val="right"/>
              <w:spacing w:after="0"/>
              <w:rPr>
                <w:sz w:val="20"/>
                <w:szCs w:val="20"/>
                <w:color w:val="auto"/>
              </w:rPr>
            </w:pPr>
            <w:r>
              <w:rPr>
                <w:rFonts w:ascii="Arial" w:cs="Arial" w:eastAsia="Arial" w:hAnsi="Arial"/>
                <w:sz w:val="14"/>
                <w:szCs w:val="14"/>
                <w:color w:val="auto"/>
              </w:rPr>
              <w:t>136,089</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720" w:type="dxa"/>
            <w:vAlign w:val="bottom"/>
            <w:tcBorders>
              <w:bottom w:val="single" w:sz="8" w:color="auto"/>
            </w:tcBorders>
            <w:gridSpan w:val="2"/>
            <w:vMerge w:val="continue"/>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7"/>
        </w:trPr>
        <w:tc>
          <w:tcPr>
            <w:tcW w:w="160" w:type="dxa"/>
            <w:vAlign w:val="bottom"/>
          </w:tcPr>
          <w:p>
            <w:pPr>
              <w:spacing w:after="0"/>
              <w:rPr>
                <w:sz w:val="20"/>
                <w:szCs w:val="20"/>
                <w:color w:val="auto"/>
              </w:rPr>
            </w:pPr>
            <w:r>
              <w:rPr>
                <w:rFonts w:ascii="Arial" w:cs="Arial" w:eastAsia="Arial" w:hAnsi="Arial"/>
                <w:sz w:val="14"/>
                <w:szCs w:val="14"/>
                <w:color w:val="auto"/>
              </w:rPr>
              <w:t>c)</w:t>
            </w:r>
          </w:p>
        </w:tc>
        <w:tc>
          <w:tcPr>
            <w:tcW w:w="7140" w:type="dxa"/>
            <w:vAlign w:val="bottom"/>
            <w:gridSpan w:val="3"/>
          </w:tcPr>
          <w:p>
            <w:pPr>
              <w:ind w:left="20"/>
              <w:spacing w:after="0"/>
              <w:rPr>
                <w:sz w:val="20"/>
                <w:szCs w:val="20"/>
                <w:color w:val="auto"/>
              </w:rPr>
            </w:pPr>
            <w:r>
              <w:rPr>
                <w:rFonts w:ascii="Arial" w:cs="Arial" w:eastAsia="Arial" w:hAnsi="Arial"/>
                <w:sz w:val="14"/>
                <w:szCs w:val="14"/>
                <w:color w:val="auto"/>
              </w:rPr>
              <w:t>The distribution of income from operations by geographical area was as follows:</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7"/>
              </w:rPr>
              <w:t>March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8"/>
          </w:tcPr>
          <w:p>
            <w:pPr>
              <w:jc w:val="right"/>
              <w:ind w:right="34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1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11,905</w:t>
            </w:r>
          </w:p>
        </w:tc>
        <w:tc>
          <w:tcPr>
            <w:tcW w:w="120" w:type="dxa"/>
            <w:vAlign w:val="bottom"/>
            <w:tcBorders>
              <w:lef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10,832</w:t>
            </w:r>
          </w:p>
        </w:tc>
        <w:tc>
          <w:tcPr>
            <w:tcW w:w="5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1600" w:type="dxa"/>
            <w:vAlign w:val="bottom"/>
          </w:tcPr>
          <w:p>
            <w:pPr>
              <w:spacing w:after="0"/>
              <w:rPr>
                <w:sz w:val="12"/>
                <w:szCs w:val="12"/>
                <w:color w:val="auto"/>
              </w:rPr>
            </w:pPr>
          </w:p>
        </w:tc>
        <w:tc>
          <w:tcPr>
            <w:tcW w:w="82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3,757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1,337</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600" w:type="dxa"/>
            <w:vAlign w:val="bottom"/>
            <w:shd w:val="clear" w:color="auto" w:fill="CCEEFF"/>
          </w:tcPr>
          <w:p>
            <w:pPr>
              <w:spacing w:after="0"/>
              <w:rPr>
                <w:sz w:val="12"/>
                <w:szCs w:val="12"/>
                <w:color w:val="auto"/>
              </w:rPr>
            </w:pPr>
          </w:p>
        </w:tc>
        <w:tc>
          <w:tcPr>
            <w:tcW w:w="82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5,504</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2,429</w:t>
            </w:r>
          </w:p>
        </w:tc>
        <w:tc>
          <w:tcPr>
            <w:tcW w:w="5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1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rPr>
              <w:t>346</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94</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16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rPr>
              <w:t>21,512</w:t>
            </w: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14,692</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0"/>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Pr>
          <w:p>
            <w:pPr>
              <w:ind w:left="60"/>
              <w:spacing w:after="0"/>
              <w:rPr>
                <w:sz w:val="20"/>
                <w:szCs w:val="20"/>
                <w:color w:val="auto"/>
              </w:rPr>
            </w:pPr>
            <w:r>
              <w:rPr>
                <w:rFonts w:ascii="Arial" w:cs="Arial" w:eastAsia="Arial" w:hAnsi="Arial"/>
                <w:sz w:val="14"/>
                <w:szCs w:val="14"/>
                <w:color w:val="auto"/>
              </w:rPr>
              <w:t>d) The distribution of income from operations by business segment was as follows:</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7"/>
              </w:rPr>
              <w:t>March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8"/>
          </w:tcPr>
          <w:p>
            <w:pPr>
              <w:jc w:val="right"/>
              <w:ind w:right="34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1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1,230</w:t>
            </w:r>
          </w:p>
        </w:tc>
        <w:tc>
          <w:tcPr>
            <w:tcW w:w="120" w:type="dxa"/>
            <w:vAlign w:val="bottom"/>
            <w:tcBorders>
              <w:lef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948</w:t>
            </w:r>
          </w:p>
        </w:tc>
        <w:tc>
          <w:tcPr>
            <w:tcW w:w="5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1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rPr>
              <w:t>20,282</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13,744</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6"/>
          </w:tcPr>
          <w:p>
            <w:pPr>
              <w:jc w:val="right"/>
              <w:spacing w:after="0"/>
              <w:rPr>
                <w:sz w:val="20"/>
                <w:szCs w:val="20"/>
                <w:color w:val="auto"/>
              </w:rPr>
            </w:pPr>
            <w:r>
              <w:rPr>
                <w:rFonts w:ascii="Arial" w:cs="Arial" w:eastAsia="Arial" w:hAnsi="Arial"/>
                <w:sz w:val="14"/>
                <w:szCs w:val="14"/>
                <w:color w:val="auto"/>
              </w:rPr>
              <w:t>21,512</w:t>
            </w:r>
          </w:p>
        </w:tc>
        <w:tc>
          <w:tcPr>
            <w:tcW w:w="120" w:type="dxa"/>
            <w:vAlign w:val="bottom"/>
          </w:tcPr>
          <w:p>
            <w:pPr>
              <w:spacing w:after="0"/>
              <w:rPr>
                <w:sz w:val="15"/>
                <w:szCs w:val="15"/>
                <w:color w:val="auto"/>
              </w:rPr>
            </w:pPr>
          </w:p>
        </w:tc>
        <w:tc>
          <w:tcPr>
            <w:tcW w:w="380" w:type="dxa"/>
            <w:vAlign w:val="bottom"/>
            <w:gridSpan w:val="2"/>
          </w:tcPr>
          <w:p>
            <w:pPr>
              <w:jc w:val="right"/>
              <w:ind w:right="228"/>
              <w:spacing w:after="0"/>
              <w:rPr>
                <w:sz w:val="20"/>
                <w:szCs w:val="20"/>
                <w:color w:val="auto"/>
              </w:rPr>
            </w:pPr>
            <w:r>
              <w:rPr>
                <w:rFonts w:ascii="Arial" w:cs="Arial" w:eastAsia="Arial" w:hAnsi="Arial"/>
                <w:sz w:val="14"/>
                <w:szCs w:val="14"/>
                <w:color w:val="auto"/>
                <w:w w:val="76"/>
              </w:rPr>
              <w:t>$</w:t>
            </w:r>
          </w:p>
        </w:tc>
        <w:tc>
          <w:tcPr>
            <w:tcW w:w="620" w:type="dxa"/>
            <w:vAlign w:val="bottom"/>
            <w:gridSpan w:val="4"/>
          </w:tcPr>
          <w:p>
            <w:pPr>
              <w:jc w:val="right"/>
              <w:spacing w:after="0"/>
              <w:rPr>
                <w:sz w:val="20"/>
                <w:szCs w:val="20"/>
                <w:color w:val="auto"/>
              </w:rPr>
            </w:pPr>
            <w:r>
              <w:rPr>
                <w:rFonts w:ascii="Arial" w:cs="Arial" w:eastAsia="Arial" w:hAnsi="Arial"/>
                <w:sz w:val="14"/>
                <w:szCs w:val="14"/>
                <w:color w:val="auto"/>
              </w:rPr>
              <w:t>14,692</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720" w:type="dxa"/>
            <w:vAlign w:val="bottom"/>
            <w:gridSpan w:val="2"/>
            <w:vMerge w:val="continue"/>
          </w:tcPr>
          <w:p>
            <w:pPr>
              <w:spacing w:after="0"/>
              <w:rPr>
                <w:sz w:val="5"/>
                <w:szCs w:val="5"/>
                <w:color w:val="auto"/>
              </w:rPr>
            </w:pPr>
          </w:p>
        </w:tc>
        <w:tc>
          <w:tcPr>
            <w:tcW w:w="1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7"/>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e) The distribution of property, plant and equipment, net, by geographical area was as follows:</w:t>
            </w:r>
          </w:p>
        </w:tc>
        <w:tc>
          <w:tcPr>
            <w:tcW w:w="16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gridSpan w:val="6"/>
          </w:tcPr>
          <w:p>
            <w:pPr>
              <w:jc w:val="right"/>
              <w:ind w:right="108"/>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0"/>
              </w:rPr>
              <w:t>December 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40" w:type="dxa"/>
            <w:vAlign w:val="bottom"/>
            <w:tcBorders>
              <w:top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80" w:type="dxa"/>
            <w:vAlign w:val="bottom"/>
            <w:tcBorders>
              <w:top w:val="single" w:sz="8" w:color="auto"/>
            </w:tcBorders>
            <w:gridSpan w:val="2"/>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160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6"/>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94,642</w:t>
            </w:r>
          </w:p>
        </w:tc>
        <w:tc>
          <w:tcPr>
            <w:tcW w:w="120" w:type="dxa"/>
            <w:vAlign w:val="bottom"/>
            <w:tcBorders>
              <w:lef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82,127</w:t>
            </w:r>
          </w:p>
        </w:tc>
        <w:tc>
          <w:tcPr>
            <w:tcW w:w="5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1600" w:type="dxa"/>
            <w:vAlign w:val="bottom"/>
          </w:tcPr>
          <w:p>
            <w:pPr>
              <w:spacing w:after="0"/>
              <w:rPr>
                <w:sz w:val="12"/>
                <w:szCs w:val="12"/>
                <w:color w:val="auto"/>
              </w:rPr>
            </w:pPr>
          </w:p>
        </w:tc>
        <w:tc>
          <w:tcPr>
            <w:tcW w:w="820" w:type="dxa"/>
            <w:vAlign w:val="bottom"/>
            <w:gridSpan w:val="6"/>
          </w:tcPr>
          <w:p>
            <w:pPr>
              <w:jc w:val="right"/>
              <w:ind w:right="108"/>
              <w:spacing w:after="0" w:line="149" w:lineRule="exact"/>
              <w:rPr>
                <w:sz w:val="20"/>
                <w:szCs w:val="20"/>
                <w:color w:val="auto"/>
              </w:rPr>
            </w:pPr>
            <w:r>
              <w:rPr>
                <w:rFonts w:ascii="Arial" w:cs="Arial" w:eastAsia="Arial" w:hAnsi="Arial"/>
                <w:sz w:val="14"/>
                <w:szCs w:val="14"/>
                <w:color w:val="auto"/>
              </w:rPr>
              <w:t>19,241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15,547</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600" w:type="dxa"/>
            <w:vAlign w:val="bottom"/>
            <w:shd w:val="clear" w:color="auto" w:fill="CCEEFF"/>
          </w:tcPr>
          <w:p>
            <w:pPr>
              <w:spacing w:after="0"/>
              <w:rPr>
                <w:sz w:val="12"/>
                <w:szCs w:val="12"/>
                <w:color w:val="auto"/>
              </w:rPr>
            </w:pPr>
          </w:p>
        </w:tc>
        <w:tc>
          <w:tcPr>
            <w:tcW w:w="820" w:type="dxa"/>
            <w:vAlign w:val="bottom"/>
            <w:gridSpan w:val="6"/>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32,739</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29,072</w:t>
            </w:r>
          </w:p>
        </w:tc>
        <w:tc>
          <w:tcPr>
            <w:tcW w:w="5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1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6"/>
          </w:tcPr>
          <w:p>
            <w:pPr>
              <w:jc w:val="right"/>
              <w:ind w:right="108"/>
              <w:spacing w:after="0" w:line="149" w:lineRule="exact"/>
              <w:rPr>
                <w:sz w:val="20"/>
                <w:szCs w:val="20"/>
                <w:color w:val="auto"/>
              </w:rPr>
            </w:pPr>
            <w:r>
              <w:rPr>
                <w:rFonts w:ascii="Arial" w:cs="Arial" w:eastAsia="Arial" w:hAnsi="Arial"/>
                <w:sz w:val="14"/>
                <w:szCs w:val="14"/>
                <w:color w:val="auto"/>
              </w:rPr>
              <w:t>7,086</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4"/>
          </w:tcPr>
          <w:p>
            <w:pPr>
              <w:jc w:val="right"/>
              <w:ind w:right="80"/>
              <w:spacing w:after="0" w:line="149" w:lineRule="exact"/>
              <w:rPr>
                <w:sz w:val="20"/>
                <w:szCs w:val="20"/>
                <w:color w:val="auto"/>
              </w:rPr>
            </w:pPr>
            <w:r>
              <w:rPr>
                <w:rFonts w:ascii="Arial" w:cs="Arial" w:eastAsia="Arial" w:hAnsi="Arial"/>
                <w:sz w:val="14"/>
                <w:szCs w:val="14"/>
                <w:color w:val="auto"/>
              </w:rPr>
              <w:t>6,680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6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1600" w:type="dxa"/>
            <w:vAlign w:val="bottom"/>
            <w:tcBorders>
              <w:bottom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6"/>
          </w:tcPr>
          <w:p>
            <w:pPr>
              <w:jc w:val="right"/>
              <w:ind w:right="108"/>
              <w:spacing w:after="0" w:line="149" w:lineRule="exact"/>
              <w:rPr>
                <w:sz w:val="20"/>
                <w:szCs w:val="20"/>
                <w:color w:val="auto"/>
              </w:rPr>
            </w:pPr>
            <w:r>
              <w:rPr>
                <w:rFonts w:ascii="Arial" w:cs="Arial" w:eastAsia="Arial" w:hAnsi="Arial"/>
                <w:sz w:val="14"/>
                <w:szCs w:val="14"/>
                <w:color w:val="auto"/>
              </w:rPr>
              <w:t>153,708</w:t>
            </w:r>
          </w:p>
        </w:tc>
        <w:tc>
          <w:tcPr>
            <w:tcW w:w="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4"/>
          </w:tcPr>
          <w:p>
            <w:pPr>
              <w:jc w:val="right"/>
              <w:ind w:right="80"/>
              <w:spacing w:after="0" w:line="149" w:lineRule="exact"/>
              <w:rPr>
                <w:sz w:val="20"/>
                <w:szCs w:val="20"/>
                <w:color w:val="auto"/>
              </w:rPr>
            </w:pPr>
            <w:r>
              <w:rPr>
                <w:rFonts w:ascii="Arial" w:cs="Arial" w:eastAsia="Arial" w:hAnsi="Arial"/>
                <w:sz w:val="14"/>
                <w:szCs w:val="14"/>
                <w:color w:val="auto"/>
              </w:rPr>
              <w:t>133,426</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7"/>
        </w:trPr>
        <w:tc>
          <w:tcPr>
            <w:tcW w:w="160" w:type="dxa"/>
            <w:vAlign w:val="bottom"/>
          </w:tcPr>
          <w:p>
            <w:pPr>
              <w:spacing w:after="0"/>
              <w:rPr>
                <w:sz w:val="24"/>
                <w:szCs w:val="24"/>
                <w:color w:val="auto"/>
              </w:rPr>
            </w:pPr>
          </w:p>
        </w:tc>
        <w:tc>
          <w:tcPr>
            <w:tcW w:w="7140" w:type="dxa"/>
            <w:vAlign w:val="bottom"/>
            <w:gridSpan w:val="3"/>
          </w:tcPr>
          <w:p>
            <w:pPr>
              <w:jc w:val="right"/>
              <w:ind w:right="1448"/>
              <w:spacing w:after="0"/>
              <w:rPr>
                <w:sz w:val="20"/>
                <w:szCs w:val="20"/>
                <w:color w:val="auto"/>
              </w:rPr>
            </w:pPr>
            <w:r>
              <w:rPr>
                <w:rFonts w:ascii="Arial" w:cs="Arial" w:eastAsia="Arial" w:hAnsi="Arial"/>
                <w:sz w:val="14"/>
                <w:szCs w:val="14"/>
                <w:color w:val="auto"/>
              </w:rPr>
              <w:t>12</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70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2"/>
        </w:trPr>
        <w:tc>
          <w:tcPr>
            <w:tcW w:w="5520" w:type="dxa"/>
            <w:vAlign w:val="bottom"/>
            <w:gridSpan w:val="2"/>
          </w:tcPr>
          <w:p>
            <w:pPr>
              <w:spacing w:after="0"/>
              <w:rPr>
                <w:sz w:val="20"/>
                <w:szCs w:val="20"/>
                <w:color w:val="auto"/>
              </w:rPr>
            </w:pPr>
            <w:r>
              <w:rPr>
                <w:rFonts w:ascii="Arial" w:cs="Arial" w:eastAsia="Arial" w:hAnsi="Arial"/>
                <w:sz w:val="14"/>
                <w:szCs w:val="14"/>
                <w:color w:val="auto"/>
                <w:w w:val="95"/>
              </w:rPr>
              <w:t>f) The distribution of property, plant and equipment, net, by business segment was as follows:</w:t>
            </w:r>
          </w:p>
        </w:tc>
        <w:tc>
          <w:tcPr>
            <w:tcW w:w="3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3480" w:type="dxa"/>
            <w:vAlign w:val="bottom"/>
            <w:shd w:val="clear" w:color="auto" w:fill="CCEEFF"/>
          </w:tcPr>
          <w:p>
            <w:pPr>
              <w:jc w:val="right"/>
              <w:ind w:right="72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8,330</w:t>
            </w:r>
          </w:p>
        </w:tc>
        <w:tc>
          <w:tcPr>
            <w:tcW w:w="760" w:type="dxa"/>
            <w:vAlign w:val="bottom"/>
            <w:gridSpan w:val="2"/>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3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145,378</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jc w:val="right"/>
              <w:ind w:right="100"/>
              <w:spacing w:after="0" w:line="149" w:lineRule="exact"/>
              <w:rPr>
                <w:sz w:val="20"/>
                <w:szCs w:val="20"/>
                <w:color w:val="auto"/>
              </w:rPr>
            </w:pPr>
            <w:r>
              <w:rPr>
                <w:rFonts w:ascii="Arial" w:cs="Arial" w:eastAsia="Arial" w:hAnsi="Arial"/>
                <w:sz w:val="14"/>
                <w:szCs w:val="14"/>
                <w:color w:val="auto"/>
              </w:rPr>
              <w:t>126,378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5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vMerge w:val="continue"/>
          </w:tcPr>
          <w:p>
            <w:pPr>
              <w:spacing w:after="0"/>
              <w:rPr>
                <w:sz w:val="13"/>
                <w:szCs w:val="13"/>
                <w:color w:val="auto"/>
              </w:rPr>
            </w:pPr>
          </w:p>
        </w:tc>
        <w:tc>
          <w:tcPr>
            <w:tcW w:w="55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3480" w:type="dxa"/>
            <w:vAlign w:val="bottom"/>
            <w:tcBorders>
              <w:bottom w:val="single" w:sz="8" w:color="auto"/>
            </w:tcBorders>
          </w:tcPr>
          <w:p>
            <w:pPr>
              <w:jc w:val="right"/>
              <w:ind w:right="728"/>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153,708</w:t>
            </w:r>
          </w:p>
        </w:tc>
        <w:tc>
          <w:tcPr>
            <w:tcW w:w="760" w:type="dxa"/>
            <w:vAlign w:val="bottom"/>
            <w:tcBorders>
              <w:bottom w:val="single" w:sz="8" w:color="auto"/>
            </w:tcBorders>
            <w:gridSpan w:val="2"/>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jc w:val="right"/>
              <w:ind w:right="100"/>
              <w:spacing w:after="0" w:line="149" w:lineRule="exact"/>
              <w:rPr>
                <w:sz w:val="20"/>
                <w:szCs w:val="20"/>
                <w:color w:val="auto"/>
              </w:rPr>
            </w:pPr>
            <w:r>
              <w:rPr>
                <w:rFonts w:ascii="Arial" w:cs="Arial" w:eastAsia="Arial" w:hAnsi="Arial"/>
                <w:sz w:val="14"/>
                <w:szCs w:val="14"/>
                <w:color w:val="auto"/>
              </w:rPr>
              <w:t>133,426</w:t>
            </w:r>
          </w:p>
        </w:tc>
        <w:tc>
          <w:tcPr>
            <w:tcW w:w="0" w:type="dxa"/>
            <w:vAlign w:val="bottom"/>
          </w:tcPr>
          <w:p>
            <w:pPr>
              <w:spacing w:after="0"/>
              <w:rPr>
                <w:sz w:val="1"/>
                <w:szCs w:val="1"/>
                <w:color w:val="auto"/>
              </w:rPr>
            </w:pPr>
          </w:p>
        </w:tc>
      </w:tr>
      <w:tr>
        <w:trPr>
          <w:trHeight w:val="407"/>
        </w:trPr>
        <w:tc>
          <w:tcPr>
            <w:tcW w:w="5520" w:type="dxa"/>
            <w:vAlign w:val="bottom"/>
            <w:gridSpan w:val="2"/>
          </w:tcPr>
          <w:p>
            <w:pPr>
              <w:spacing w:after="0"/>
              <w:rPr>
                <w:sz w:val="20"/>
                <w:szCs w:val="20"/>
                <w:color w:val="auto"/>
              </w:rPr>
            </w:pPr>
            <w:r>
              <w:rPr>
                <w:rFonts w:ascii="Arial" w:cs="Arial" w:eastAsia="Arial" w:hAnsi="Arial"/>
                <w:sz w:val="14"/>
                <w:szCs w:val="14"/>
                <w:color w:val="auto"/>
              </w:rPr>
              <w:t>g) The distribution of depreciation and amortization by geographical area was as follows:</w:t>
            </w: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March 31,</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9"/>
              </w:rPr>
              <w:t>(in thousands)</w:t>
            </w:r>
          </w:p>
        </w:tc>
        <w:tc>
          <w:tcPr>
            <w:tcW w:w="40" w:type="dxa"/>
            <w:vAlign w:val="bottom"/>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3480" w:type="dxa"/>
            <w:vAlign w:val="bottom"/>
            <w:shd w:val="clear" w:color="auto" w:fill="CCEEFF"/>
          </w:tcPr>
          <w:p>
            <w:pPr>
              <w:jc w:val="right"/>
              <w:ind w:right="72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760" w:type="dxa"/>
            <w:vAlign w:val="bottom"/>
            <w:gridSpan w:val="2"/>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348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1,349</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34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2,248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Rest of the World</w:t>
            </w:r>
          </w:p>
        </w:tc>
        <w:tc>
          <w:tcPr>
            <w:tcW w:w="3480" w:type="dxa"/>
            <w:vAlign w:val="bottom"/>
          </w:tcPr>
          <w:p>
            <w:pPr>
              <w:spacing w:after="0"/>
              <w:rPr>
                <w:sz w:val="13"/>
                <w:szCs w:val="13"/>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508</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Borders>
              <w:top w:val="single" w:sz="8" w:color="auto"/>
            </w:tcBorders>
            <w:shd w:val="clear" w:color="auto" w:fill="CCEEFF"/>
          </w:tcPr>
          <w:p>
            <w:pPr>
              <w:spacing w:after="0"/>
              <w:rPr>
                <w:sz w:val="12"/>
                <w:szCs w:val="12"/>
                <w:color w:val="auto"/>
              </w:rPr>
            </w:pPr>
          </w:p>
        </w:tc>
        <w:tc>
          <w:tcPr>
            <w:tcW w:w="3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520" w:type="dxa"/>
            <w:vAlign w:val="bottom"/>
            <w:gridSpan w:val="2"/>
          </w:tcPr>
          <w:p>
            <w:pPr>
              <w:spacing w:after="0"/>
              <w:rPr>
                <w:sz w:val="20"/>
                <w:szCs w:val="20"/>
                <w:color w:val="auto"/>
              </w:rPr>
            </w:pPr>
            <w:r>
              <w:rPr>
                <w:rFonts w:ascii="Arial" w:cs="Arial" w:eastAsia="Arial" w:hAnsi="Arial"/>
                <w:sz w:val="14"/>
                <w:szCs w:val="14"/>
                <w:color w:val="auto"/>
              </w:rPr>
              <w:t>Total</w:t>
            </w:r>
          </w:p>
        </w:tc>
        <w:tc>
          <w:tcPr>
            <w:tcW w:w="34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6,098</w:t>
            </w:r>
          </w:p>
        </w:tc>
        <w:tc>
          <w:tcPr>
            <w:tcW w:w="76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4"/>
                <w:szCs w:val="14"/>
                <w:color w:val="auto"/>
              </w:rPr>
              <w:t>4,156</w:t>
            </w:r>
          </w:p>
        </w:tc>
        <w:tc>
          <w:tcPr>
            <w:tcW w:w="0" w:type="dxa"/>
            <w:vAlign w:val="bottom"/>
          </w:tcPr>
          <w:p>
            <w:pPr>
              <w:spacing w:after="0"/>
              <w:rPr>
                <w:sz w:val="1"/>
                <w:szCs w:val="1"/>
                <w:color w:val="auto"/>
              </w:rPr>
            </w:pPr>
          </w:p>
        </w:tc>
      </w:tr>
      <w:tr>
        <w:trPr>
          <w:trHeight w:val="407"/>
        </w:trPr>
        <w:tc>
          <w:tcPr>
            <w:tcW w:w="55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h) The distribution of depreciation and amortization by business segment was as follows:</w:t>
            </w:r>
          </w:p>
        </w:tc>
        <w:tc>
          <w:tcPr>
            <w:tcW w:w="3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9"/>
              </w:rPr>
              <w:t>(in thousands)</w:t>
            </w:r>
          </w:p>
        </w:tc>
        <w:tc>
          <w:tcPr>
            <w:tcW w:w="40" w:type="dxa"/>
            <w:vAlign w:val="bottom"/>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3480" w:type="dxa"/>
            <w:vAlign w:val="bottom"/>
            <w:shd w:val="clear" w:color="auto" w:fill="CCEEFF"/>
          </w:tcPr>
          <w:p>
            <w:pPr>
              <w:jc w:val="right"/>
              <w:ind w:right="72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508</w:t>
            </w:r>
          </w:p>
        </w:tc>
        <w:tc>
          <w:tcPr>
            <w:tcW w:w="760" w:type="dxa"/>
            <w:vAlign w:val="bottom"/>
            <w:gridSpan w:val="2"/>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3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5,590</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3,727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520" w:type="dxa"/>
            <w:vAlign w:val="bottom"/>
            <w:gridSpan w:val="2"/>
          </w:tcPr>
          <w:p>
            <w:pPr>
              <w:spacing w:after="0"/>
              <w:rPr>
                <w:sz w:val="20"/>
                <w:szCs w:val="20"/>
                <w:color w:val="auto"/>
              </w:rPr>
            </w:pPr>
            <w:r>
              <w:rPr>
                <w:rFonts w:ascii="Arial" w:cs="Arial" w:eastAsia="Arial" w:hAnsi="Arial"/>
                <w:sz w:val="14"/>
                <w:szCs w:val="14"/>
                <w:color w:val="auto"/>
              </w:rPr>
              <w:t>Total</w:t>
            </w:r>
          </w:p>
        </w:tc>
        <w:tc>
          <w:tcPr>
            <w:tcW w:w="34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6,098</w:t>
            </w:r>
          </w:p>
        </w:tc>
        <w:tc>
          <w:tcPr>
            <w:tcW w:w="76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4"/>
                <w:szCs w:val="14"/>
                <w:color w:val="auto"/>
              </w:rPr>
              <w:t>4,156</w:t>
            </w:r>
          </w:p>
        </w:tc>
        <w:tc>
          <w:tcPr>
            <w:tcW w:w="0" w:type="dxa"/>
            <w:vAlign w:val="bottom"/>
          </w:tcPr>
          <w:p>
            <w:pPr>
              <w:spacing w:after="0"/>
              <w:rPr>
                <w:sz w:val="1"/>
                <w:szCs w:val="1"/>
                <w:color w:val="auto"/>
              </w:rPr>
            </w:pPr>
          </w:p>
        </w:tc>
      </w:tr>
      <w:tr>
        <w:trPr>
          <w:trHeight w:val="407"/>
        </w:trPr>
        <w:tc>
          <w:tcPr>
            <w:tcW w:w="55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i) The distribution of total assets by geographical area was as follows:</w:t>
            </w:r>
          </w:p>
        </w:tc>
        <w:tc>
          <w:tcPr>
            <w:tcW w:w="3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9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Ireland</w:t>
            </w:r>
          </w:p>
        </w:tc>
        <w:tc>
          <w:tcPr>
            <w:tcW w:w="3480" w:type="dxa"/>
            <w:vAlign w:val="bottom"/>
            <w:tcBorders>
              <w:top w:val="single" w:sz="8" w:color="CCEEFF"/>
            </w:tcBorders>
            <w:shd w:val="clear" w:color="auto" w:fill="CCEEFF"/>
          </w:tcPr>
          <w:p>
            <w:pPr>
              <w:jc w:val="right"/>
              <w:ind w:right="728"/>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260,409</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38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gridSpan w:val="4"/>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202,293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348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156,829</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161,746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34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352,053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301,183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3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28,589</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27,916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5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5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3480" w:type="dxa"/>
            <w:vAlign w:val="bottom"/>
            <w:tcBorders>
              <w:bottom w:val="single" w:sz="8" w:color="auto"/>
            </w:tcBorders>
          </w:tcPr>
          <w:p>
            <w:pPr>
              <w:jc w:val="right"/>
              <w:ind w:right="728"/>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797,880</w:t>
            </w:r>
          </w:p>
        </w:tc>
        <w:tc>
          <w:tcPr>
            <w:tcW w:w="760" w:type="dxa"/>
            <w:vAlign w:val="bottom"/>
            <w:tcBorders>
              <w:bottom w:val="single" w:sz="8" w:color="auto"/>
            </w:tcBorders>
            <w:gridSpan w:val="2"/>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jc w:val="right"/>
              <w:ind w:right="100"/>
              <w:spacing w:after="0" w:line="149" w:lineRule="exact"/>
              <w:rPr>
                <w:sz w:val="20"/>
                <w:szCs w:val="20"/>
                <w:color w:val="auto"/>
              </w:rPr>
            </w:pPr>
            <w:r>
              <w:rPr>
                <w:rFonts w:ascii="Arial" w:cs="Arial" w:eastAsia="Arial" w:hAnsi="Arial"/>
                <w:sz w:val="14"/>
                <w:szCs w:val="14"/>
                <w:color w:val="auto"/>
              </w:rPr>
              <w:t>693,138</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80" w:type="dxa"/>
            <w:vAlign w:val="bottom"/>
          </w:tcPr>
          <w:p>
            <w:pPr>
              <w:jc w:val="right"/>
              <w:ind w:right="3148"/>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500" w:type="dxa"/>
            <w:vAlign w:val="bottom"/>
            <w:tcBorders>
              <w:bottom w:val="single" w:sz="8" w:color="808080"/>
            </w:tcBorders>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2"/>
        </w:trPr>
        <w:tc>
          <w:tcPr>
            <w:tcW w:w="4820" w:type="dxa"/>
            <w:vAlign w:val="bottom"/>
            <w:gridSpan w:val="2"/>
          </w:tcPr>
          <w:p>
            <w:pPr>
              <w:spacing w:after="0"/>
              <w:rPr>
                <w:sz w:val="20"/>
                <w:szCs w:val="20"/>
                <w:color w:val="auto"/>
              </w:rPr>
            </w:pPr>
            <w:r>
              <w:rPr>
                <w:rFonts w:ascii="Arial" w:cs="Arial" w:eastAsia="Arial" w:hAnsi="Arial"/>
                <w:sz w:val="14"/>
                <w:szCs w:val="14"/>
                <w:color w:val="auto"/>
              </w:rPr>
              <w:t>j) The distribution of total assets by business segment was as follows:</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Central laboratory</w:t>
            </w:r>
          </w:p>
        </w:tc>
        <w:tc>
          <w:tcPr>
            <w:tcW w:w="4180" w:type="dxa"/>
            <w:vAlign w:val="bottom"/>
            <w:tcBorders>
              <w:top w:val="single" w:sz="8" w:color="CCEEFF"/>
            </w:tcBorders>
            <w:shd w:val="clear" w:color="auto" w:fill="CCEEFF"/>
          </w:tcPr>
          <w:p>
            <w:pPr>
              <w:jc w:val="right"/>
              <w:ind w:right="728"/>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42,581</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48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40,562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Clinical research</w:t>
            </w:r>
          </w:p>
        </w:tc>
        <w:tc>
          <w:tcPr>
            <w:tcW w:w="4180" w:type="dxa"/>
            <w:vAlign w:val="bottom"/>
          </w:tcPr>
          <w:p>
            <w:pPr>
              <w:spacing w:after="0"/>
              <w:rPr>
                <w:sz w:val="13"/>
                <w:szCs w:val="13"/>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755,299</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652,576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tcBorders>
              <w:top w:val="single" w:sz="8" w:color="auto"/>
            </w:tcBorders>
            <w:shd w:val="clear" w:color="auto" w:fill="CCEEFF"/>
          </w:tcPr>
          <w:p>
            <w:pPr>
              <w:spacing w:after="0"/>
              <w:rPr>
                <w:sz w:val="12"/>
                <w:szCs w:val="12"/>
                <w:color w:val="auto"/>
              </w:rPr>
            </w:pPr>
          </w:p>
        </w:tc>
        <w:tc>
          <w:tcPr>
            <w:tcW w:w="41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4180" w:type="dxa"/>
            <w:vAlign w:val="bottom"/>
          </w:tcPr>
          <w:p>
            <w:pPr>
              <w:jc w:val="right"/>
              <w:ind w:right="72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797,880</w:t>
            </w:r>
          </w:p>
        </w:tc>
        <w:tc>
          <w:tcPr>
            <w:tcW w:w="86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693,138</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800" w:type="dxa"/>
            <w:vAlign w:val="bottom"/>
            <w:tcBorders>
              <w:top w:val="single" w:sz="8" w:color="auto"/>
            </w:tcBorders>
          </w:tcPr>
          <w:p>
            <w:pPr>
              <w:spacing w:after="0"/>
              <w:rPr>
                <w:sz w:val="24"/>
                <w:szCs w:val="24"/>
                <w:color w:val="auto"/>
              </w:rPr>
            </w:pPr>
          </w:p>
        </w:tc>
        <w:tc>
          <w:tcPr>
            <w:tcW w:w="4180" w:type="dxa"/>
            <w:vAlign w:val="bottom"/>
            <w:tcBorders>
              <w:top w:val="single" w:sz="8" w:color="auto"/>
            </w:tcBorders>
          </w:tcPr>
          <w:p>
            <w:pPr>
              <w:jc w:val="right"/>
              <w:ind w:right="3148"/>
              <w:spacing w:after="0"/>
              <w:rPr>
                <w:sz w:val="20"/>
                <w:szCs w:val="20"/>
                <w:color w:val="auto"/>
              </w:rPr>
            </w:pPr>
            <w:r>
              <w:rPr>
                <w:rFonts w:ascii="Arial" w:cs="Arial" w:eastAsia="Arial" w:hAnsi="Arial"/>
                <w:sz w:val="14"/>
                <w:szCs w:val="14"/>
                <w:color w:val="auto"/>
              </w:rPr>
              <w:t>14</w:t>
            </w: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Discussion and Analysis of Financial Condition and Results of Operations.</w:t>
      </w:r>
    </w:p>
    <w:p>
      <w:pPr>
        <w:sectPr>
          <w:pgSz w:w="11900" w:h="16838" w:orient="portrait"/>
          <w:cols w:equalWidth="0" w:num="1">
            <w:col w:w="11420"/>
          </w:cols>
          <w:pgMar w:left="240" w:top="360" w:right="239" w:bottom="1440" w:gutter="0" w:footer="0" w:header="0"/>
        </w:sectPr>
      </w:pP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following discussion and analysis should be read in conjunction with the Consolidated Financial Statements and related notes thereto included in our accordance with accounting principles generally accepted in the United States.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hanging="43"/>
        <w:spacing w:after="0" w:line="291" w:lineRule="auto"/>
        <w:rPr>
          <w:sz w:val="20"/>
          <w:szCs w:val="20"/>
          <w:color w:val="auto"/>
        </w:rPr>
      </w:pPr>
      <w:r>
        <w:rPr>
          <w:rFonts w:ascii="Arial" w:cs="Arial" w:eastAsia="Arial" w:hAnsi="Arial"/>
          <w:sz w:val="13"/>
          <w:szCs w:val="13"/>
          <w:color w:val="auto"/>
        </w:rPr>
        <w:t>unaudited Condensed Consolidated Financial Statements and accompanying notes included elsewhere herein and the Form 20-F for the year ended December 31, 2007. The Consolidated Financial Statements have been prepared in</w:t>
      </w:r>
    </w:p>
    <w:p>
      <w:pPr>
        <w:spacing w:after="0" w:line="321" w:lineRule="exact"/>
        <w:rPr>
          <w:sz w:val="20"/>
          <w:szCs w:val="20"/>
          <w:color w:val="auto"/>
        </w:rPr>
      </w:pPr>
    </w:p>
    <w:p>
      <w:pPr>
        <w:sectPr>
          <w:pgSz w:w="11900" w:h="16838" w:orient="portrait"/>
          <w:cols w:equalWidth="0" w:num="2">
            <w:col w:w="4540" w:space="100"/>
            <w:col w:w="6780"/>
          </w:cols>
          <w:pgMar w:left="240" w:top="360" w:right="2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Overview</w:t>
      </w:r>
    </w:p>
    <w:p>
      <w:pPr>
        <w:spacing w:after="0" w:line="235" w:lineRule="exact"/>
        <w:rPr>
          <w:sz w:val="20"/>
          <w:szCs w:val="20"/>
          <w:color w:val="auto"/>
        </w:rPr>
      </w:pPr>
    </w:p>
    <w:p>
      <w:pPr>
        <w:ind w:right="80"/>
        <w:spacing w:after="0" w:line="234" w:lineRule="auto"/>
        <w:rPr>
          <w:sz w:val="20"/>
          <w:szCs w:val="20"/>
          <w:color w:val="auto"/>
        </w:rPr>
      </w:pPr>
      <w:r>
        <w:rPr>
          <w:rFonts w:ascii="Arial" w:cs="Arial" w:eastAsia="Arial" w:hAnsi="Arial"/>
          <w:sz w:val="14"/>
          <w:szCs w:val="14"/>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primary approach is to use dedicated teams to achieve optimum results, but we can implement a range of resourcing models to suit client requirements.</w:t>
      </w:r>
    </w:p>
    <w:p>
      <w:pPr>
        <w:spacing w:after="0" w:line="209" w:lineRule="exact"/>
        <w:rPr>
          <w:sz w:val="20"/>
          <w:szCs w:val="20"/>
          <w:color w:val="auto"/>
        </w:rPr>
      </w:pPr>
    </w:p>
    <w:p>
      <w:pPr>
        <w:jc w:val="both"/>
        <w:ind w:right="120"/>
        <w:spacing w:after="0" w:line="234" w:lineRule="auto"/>
        <w:rPr>
          <w:sz w:val="20"/>
          <w:szCs w:val="20"/>
          <w:color w:val="auto"/>
        </w:rPr>
      </w:pPr>
      <w:r>
        <w:rPr>
          <w:rFonts w:ascii="Arial" w:cs="Arial" w:eastAsia="Arial" w:hAnsi="Arial"/>
          <w:sz w:val="14"/>
          <w:szCs w:val="14"/>
          <w:color w:val="auto"/>
        </w:rPr>
        <w:t>In a highly fragmented industry, we are one of a small number of companies with the capability and expertise to conduct clinical trials in all major therapeutic areas on a global basis. Currently, we have approximately 6,150 employees, in 68 locations in 36 countries, providing Phase I - IV Clinical Trial Management, Drug Development Support Services, Data Management and Biostatistics and Central Laboratory and Imaging Services. For the three months ended March 31, 2008, we derived approximately 45.7%, 46.3% and 8.0% of our net revenue in the United States, Europe and Rest of World, respectively.</w:t>
      </w:r>
    </w:p>
    <w:p>
      <w:pPr>
        <w:spacing w:after="0" w:line="209" w:lineRule="exact"/>
        <w:rPr>
          <w:sz w:val="20"/>
          <w:szCs w:val="20"/>
          <w:color w:val="auto"/>
        </w:rPr>
      </w:pPr>
    </w:p>
    <w:p>
      <w:pPr>
        <w:ind w:right="80"/>
        <w:spacing w:after="0" w:line="251" w:lineRule="auto"/>
        <w:rPr>
          <w:sz w:val="20"/>
          <w:szCs w:val="20"/>
          <w:color w:val="auto"/>
        </w:rPr>
      </w:pPr>
      <w:r>
        <w:rPr>
          <w:rFonts w:ascii="Arial" w:cs="Arial" w:eastAsia="Arial" w:hAnsi="Arial"/>
          <w:sz w:val="13"/>
          <w:szCs w:val="13"/>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on the basis of the relationship between time incurred and the total estimated duration of the trial or on a fee-for-service basis according to the particular circumstances of the contract.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4" w:lineRule="exact"/>
        <w:rPr>
          <w:sz w:val="20"/>
          <w:szCs w:val="20"/>
          <w:color w:val="auto"/>
        </w:rPr>
      </w:pPr>
    </w:p>
    <w:p>
      <w:pPr>
        <w:jc w:val="both"/>
        <w:ind w:right="60"/>
        <w:spacing w:after="0" w:line="238" w:lineRule="auto"/>
        <w:rPr>
          <w:sz w:val="20"/>
          <w:szCs w:val="20"/>
          <w:color w:val="auto"/>
        </w:rPr>
      </w:pPr>
      <w:r>
        <w:rPr>
          <w:rFonts w:ascii="Arial" w:cs="Arial" w:eastAsia="Arial" w:hAnsi="Arial"/>
          <w:sz w:val="14"/>
          <w:szCs w:val="14"/>
          <w:color w:val="auto"/>
        </w:rPr>
        <w:t>Direct costs consist primarily of compensation, associated fringe benefits and share based compensation expense for project-related employees and other direct project driven costs. Selling, general and administrative expenses consist of compensation, related fringe benefits and share based compensation expense for selling and administrative employees, professional services, advertising costs and all costs related to facilities and information systems.</w:t>
      </w:r>
    </w:p>
    <w:p>
      <w:pPr>
        <w:spacing w:after="0" w:line="210" w:lineRule="exact"/>
        <w:rPr>
          <w:sz w:val="20"/>
          <w:szCs w:val="20"/>
          <w:color w:val="auto"/>
        </w:rPr>
      </w:pPr>
    </w:p>
    <w:p>
      <w:pPr>
        <w:ind w:right="360"/>
        <w:spacing w:after="0" w:line="238" w:lineRule="auto"/>
        <w:rPr>
          <w:sz w:val="20"/>
          <w:szCs w:val="20"/>
          <w:color w:val="auto"/>
        </w:rPr>
      </w:pPr>
      <w:r>
        <w:rPr>
          <w:rFonts w:ascii="Arial" w:cs="Arial" w:eastAsia="Arial" w:hAnsi="Arial"/>
          <w:sz w:val="14"/>
          <w:szCs w:val="14"/>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0" w:lineRule="exact"/>
        <w:rPr>
          <w:sz w:val="20"/>
          <w:szCs w:val="20"/>
          <w:color w:val="auto"/>
        </w:rPr>
      </w:pPr>
    </w:p>
    <w:p>
      <w:pPr>
        <w:ind w:right="320"/>
        <w:spacing w:after="0" w:line="253" w:lineRule="auto"/>
        <w:rPr>
          <w:sz w:val="20"/>
          <w:szCs w:val="20"/>
          <w:color w:val="auto"/>
        </w:rPr>
      </w:pPr>
      <w:r>
        <w:rPr>
          <w:rFonts w:ascii="Arial" w:cs="Arial" w:eastAsia="Arial" w:hAnsi="Arial"/>
          <w:sz w:val="14"/>
          <w:szCs w:val="14"/>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1"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In addition to translation exposures, we are also subject to transaction exposures because the currency in which contracts are priced can be different from the currencies in which costs relating to those contracts are incurred. We have 19 operations operating in U.S. dollars, 11 trading in Euros, 5 in pounds Sterling, 2 each in Indian Rupee, Russian Rouble, Japanese Yen, Swedish Krona and Polish Zloty, and 1 each in Australian dollars, Singapore dollars, Israeli New Shekels, Latvian Lats, Argentine Peso, South African Rand, Canadian dollar, Hungarian Forint, Danish Krone, Czech Koruna, Ukraine Hryvnia, Romanian New Leu, Hong Kong dollar, Taiwan dollar, Mexican Peso, Brazilian Real, Chilean Peso, South Korean Won, Thai Baht, Chinese Yuan Renminbi, Lithuanian Litas, Peruvian Neuvo Sol &amp; New Zealand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ICON's results of operations. We regularly review our currency exposures and hedge a portion of these, using forward exchange contracts, where they are not covered by natural hedges.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7" w:name="page18"/>
    <w:bookmarkEnd w:id="17"/>
    <w:p>
      <w:pPr>
        <w:ind w:right="180"/>
        <w:spacing w:after="0" w:line="238" w:lineRule="auto"/>
        <w:rPr>
          <w:sz w:val="20"/>
          <w:szCs w:val="20"/>
          <w:color w:val="auto"/>
        </w:rPr>
      </w:pPr>
      <w:r>
        <w:rPr>
          <w:rFonts w:ascii="Arial" w:cs="Arial" w:eastAsia="Arial" w:hAnsi="Arial"/>
          <w:sz w:val="14"/>
          <w:szCs w:val="14"/>
          <w:color w:val="auto"/>
        </w:rPr>
        <w:t>As we conduct operations on a global basis, our effective tax rate has depended and will depend on the geographic distribution of our revenue and earnings among locations with varying tax rates. ICON's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March 31, 2008 compared with Three Months Ended March 31, 2007</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4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March</w:t>
            </w: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gridSpan w:val="3"/>
          </w:tcPr>
          <w:p>
            <w:pPr>
              <w:spacing w:after="0"/>
              <w:rPr>
                <w:sz w:val="14"/>
                <w:szCs w:val="14"/>
                <w:color w:val="auto"/>
              </w:rPr>
            </w:pPr>
          </w:p>
        </w:tc>
        <w:tc>
          <w:tcPr>
            <w:tcW w:w="11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6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31,</w:t>
            </w:r>
          </w:p>
        </w:tc>
        <w:tc>
          <w:tcPr>
            <w:tcW w:w="8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3"/>
              </w:rPr>
              <w:t>March 31,</w:t>
            </w:r>
          </w:p>
        </w:tc>
        <w:tc>
          <w:tcPr>
            <w:tcW w:w="580" w:type="dxa"/>
            <w:vAlign w:val="bottom"/>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2008</w:t>
            </w:r>
          </w:p>
        </w:tc>
        <w:tc>
          <w:tcPr>
            <w:tcW w:w="8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9"/>
              </w:rPr>
              <w:t>2007</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to 2008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Percentage of Net Revenue</w:t>
            </w:r>
          </w:p>
        </w:tc>
        <w:tc>
          <w:tcPr>
            <w:tcW w:w="1100" w:type="dxa"/>
            <w:vAlign w:val="bottom"/>
            <w:gridSpan w:val="5"/>
          </w:tcPr>
          <w:p>
            <w:pPr>
              <w:jc w:val="right"/>
              <w:spacing w:after="0" w:line="129" w:lineRule="exact"/>
              <w:rPr>
                <w:sz w:val="20"/>
                <w:szCs w:val="20"/>
                <w:color w:val="auto"/>
              </w:rPr>
            </w:pPr>
            <w:r>
              <w:rPr>
                <w:rFonts w:ascii="Arial" w:cs="Arial" w:eastAsia="Arial" w:hAnsi="Arial"/>
                <w:sz w:val="14"/>
                <w:szCs w:val="14"/>
                <w:b w:val="1"/>
                <w:bCs w:val="1"/>
                <w:color w:val="auto"/>
              </w:rPr>
              <w:t>Percentage</w:t>
            </w: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6"/>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56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Net revenue</w:t>
            </w:r>
          </w:p>
        </w:tc>
        <w:tc>
          <w:tcPr>
            <w:tcW w:w="1480" w:type="dxa"/>
            <w:vAlign w:val="bottom"/>
            <w:gridSpan w:val="4"/>
            <w:shd w:val="clear" w:color="auto" w:fill="CCEEFF"/>
          </w:tcPr>
          <w:p>
            <w:pPr>
              <w:jc w:val="right"/>
              <w:ind w:right="720"/>
              <w:spacing w:after="0" w:line="122" w:lineRule="exact"/>
              <w:rPr>
                <w:sz w:val="20"/>
                <w:szCs w:val="20"/>
                <w:color w:val="auto"/>
              </w:rPr>
            </w:pPr>
            <w:r>
              <w:rPr>
                <w:rFonts w:ascii="Arial" w:cs="Arial" w:eastAsia="Arial" w:hAnsi="Arial"/>
                <w:sz w:val="14"/>
                <w:szCs w:val="14"/>
                <w:color w:val="auto"/>
              </w:rPr>
              <w:t>100.0%</w:t>
            </w:r>
          </w:p>
        </w:tc>
        <w:tc>
          <w:tcPr>
            <w:tcW w:w="1160" w:type="dxa"/>
            <w:vAlign w:val="bottom"/>
            <w:gridSpan w:val="4"/>
            <w:shd w:val="clear" w:color="auto" w:fill="CCEEFF"/>
          </w:tcPr>
          <w:p>
            <w:pPr>
              <w:jc w:val="right"/>
              <w:ind w:right="400"/>
              <w:spacing w:after="0" w:line="122" w:lineRule="exact"/>
              <w:rPr>
                <w:sz w:val="20"/>
                <w:szCs w:val="20"/>
                <w:color w:val="auto"/>
              </w:rPr>
            </w:pPr>
            <w:r>
              <w:rPr>
                <w:rFonts w:ascii="Arial" w:cs="Arial" w:eastAsia="Arial" w:hAnsi="Arial"/>
                <w:sz w:val="14"/>
                <w:szCs w:val="14"/>
                <w:color w:val="auto"/>
              </w:rPr>
              <w:t>100.0%</w:t>
            </w:r>
          </w:p>
        </w:tc>
        <w:tc>
          <w:tcPr>
            <w:tcW w:w="580" w:type="dxa"/>
            <w:vAlign w:val="bottom"/>
            <w:gridSpan w:val="2"/>
            <w:shd w:val="clear" w:color="auto" w:fill="CCEEFF"/>
          </w:tcPr>
          <w:p>
            <w:pPr>
              <w:spacing w:after="0"/>
              <w:rPr>
                <w:sz w:val="10"/>
                <w:szCs w:val="10"/>
                <w:color w:val="auto"/>
              </w:rPr>
            </w:pPr>
          </w:p>
        </w:tc>
        <w:tc>
          <w:tcPr>
            <w:tcW w:w="6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756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1480" w:type="dxa"/>
            <w:vAlign w:val="bottom"/>
            <w:gridSpan w:val="4"/>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56.2%</w:t>
            </w:r>
          </w:p>
        </w:tc>
        <w:tc>
          <w:tcPr>
            <w:tcW w:w="116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57.7%</w:t>
            </w:r>
          </w:p>
        </w:tc>
        <w:tc>
          <w:tcPr>
            <w:tcW w:w="122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756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480" w:type="dxa"/>
            <w:vAlign w:val="bottom"/>
            <w:gridSpan w:val="4"/>
          </w:tcPr>
          <w:p>
            <w:pPr>
              <w:jc w:val="right"/>
              <w:ind w:right="720"/>
              <w:spacing w:after="0" w:line="149" w:lineRule="exact"/>
              <w:rPr>
                <w:sz w:val="20"/>
                <w:szCs w:val="20"/>
                <w:color w:val="auto"/>
              </w:rPr>
            </w:pPr>
            <w:r>
              <w:rPr>
                <w:rFonts w:ascii="Arial" w:cs="Arial" w:eastAsia="Arial" w:hAnsi="Arial"/>
                <w:sz w:val="14"/>
                <w:szCs w:val="14"/>
                <w:color w:val="auto"/>
              </w:rPr>
              <w:t>30.1%</w:t>
            </w:r>
          </w:p>
        </w:tc>
        <w:tc>
          <w:tcPr>
            <w:tcW w:w="1160" w:type="dxa"/>
            <w:vAlign w:val="bottom"/>
            <w:gridSpan w:val="4"/>
          </w:tcPr>
          <w:p>
            <w:pPr>
              <w:jc w:val="right"/>
              <w:ind w:right="400"/>
              <w:spacing w:after="0" w:line="149" w:lineRule="exact"/>
              <w:rPr>
                <w:sz w:val="20"/>
                <w:szCs w:val="20"/>
                <w:color w:val="auto"/>
              </w:rPr>
            </w:pPr>
            <w:r>
              <w:rPr>
                <w:rFonts w:ascii="Arial" w:cs="Arial" w:eastAsia="Arial" w:hAnsi="Arial"/>
                <w:sz w:val="14"/>
                <w:szCs w:val="14"/>
                <w:color w:val="auto"/>
              </w:rPr>
              <w:t>28.4%</w:t>
            </w:r>
          </w:p>
        </w:tc>
        <w:tc>
          <w:tcPr>
            <w:tcW w:w="122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480" w:type="dxa"/>
            <w:vAlign w:val="bottom"/>
            <w:gridSpan w:val="4"/>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3.0%</w:t>
            </w:r>
          </w:p>
        </w:tc>
        <w:tc>
          <w:tcPr>
            <w:tcW w:w="116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2"/>
        </w:trPr>
        <w:tc>
          <w:tcPr>
            <w:tcW w:w="756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480" w:type="dxa"/>
            <w:vAlign w:val="bottom"/>
            <w:gridSpan w:val="4"/>
          </w:tcPr>
          <w:p>
            <w:pPr>
              <w:jc w:val="right"/>
              <w:ind w:right="720"/>
              <w:spacing w:after="0"/>
              <w:rPr>
                <w:sz w:val="20"/>
                <w:szCs w:val="20"/>
                <w:color w:val="auto"/>
              </w:rPr>
            </w:pPr>
            <w:r>
              <w:rPr>
                <w:rFonts w:ascii="Arial" w:cs="Arial" w:eastAsia="Arial" w:hAnsi="Arial"/>
                <w:sz w:val="14"/>
                <w:szCs w:val="14"/>
                <w:color w:val="auto"/>
              </w:rPr>
              <w:t>10.7%</w:t>
            </w:r>
          </w:p>
        </w:tc>
        <w:tc>
          <w:tcPr>
            <w:tcW w:w="1160" w:type="dxa"/>
            <w:vAlign w:val="bottom"/>
            <w:gridSpan w:val="4"/>
          </w:tcPr>
          <w:p>
            <w:pPr>
              <w:jc w:val="right"/>
              <w:ind w:right="400"/>
              <w:spacing w:after="0"/>
              <w:rPr>
                <w:sz w:val="20"/>
                <w:szCs w:val="20"/>
                <w:color w:val="auto"/>
              </w:rPr>
            </w:pPr>
            <w:r>
              <w:rPr>
                <w:rFonts w:ascii="Arial" w:cs="Arial" w:eastAsia="Arial" w:hAnsi="Arial"/>
                <w:sz w:val="14"/>
                <w:szCs w:val="14"/>
                <w:color w:val="auto"/>
              </w:rPr>
              <w:t>10.8%</w:t>
            </w:r>
          </w:p>
        </w:tc>
        <w:tc>
          <w:tcPr>
            <w:tcW w:w="1220" w:type="dxa"/>
            <w:vAlign w:val="bottom"/>
            <w:gridSpan w:val="6"/>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Net revenue increased by $65.2 million, or 48.0%, from $136.1 million to $201.3 million. In the three months ended March 31, 2008, net revenue from our central laboratory business increased by 25.5%, from $13.1 million, to $16.4 million, while our clinical research segment improved by 50.3%, from $123.0 million to $184.9 million, over the prior period. This increase in net revenue has resulted from a combination of increased business from existing clients, business won from new clients, increased use of outsourcing by the pharmaceutical, biotechnology and medical device industries and an underlying increase in research and development spending.</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Direct costs increased by $34.6 million, or 44.1%, from $78.6 million for the three months ended March 31, 2007, to $113.2 million for the three months ended March 31, 2008, primarily due to increased personnel related costs of $32.8 million resulting from the increase in project-related employees of over 1,400. The remainder of the increase resulted primarily from increased laboratory and consulting expenses. Direct costs as a percentage of net revenue decreased from 57.7% for the three months ended March 31, 2007, to 56.2% for the three months ended March 31, 2008.</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Selling, general and administrative expenses increased by $21.9 million, or 56.5%, from $38.7 million for the three months ended March 31, 2007, to $60.5 million for the three months ended March 31, 2008. The increase in SG&amp;A costs is primarily driven by increased personnel costs of $9.5 million resulting from increased levels of selling and administrative employees to support the continued expansion of the business. In addition to these personnel costs there were additional rent and utility charges of $4.7 million arising from further office openings since the three months ended March 31, 2007, increased professional, legal and accounting costs of $1.3 million, increased information technology costs of $1.2 million, an increase of $1.5 million in relation to realized and unrealized foreign exchange loss and increased temporary staff and recruitment costs of $1.5 million. As a percentage of net revenue, selling, general and administrative expenses, increased from 28.4% in the three months ended March 31, 2007, to 30.1% in the three months ended March 31, 2008.</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 w:name="page19"/>
    <w:bookmarkEnd w:id="18"/>
    <w:p>
      <w:pPr>
        <w:jc w:val="both"/>
        <w:spacing w:after="0" w:line="253" w:lineRule="auto"/>
        <w:rPr>
          <w:sz w:val="20"/>
          <w:szCs w:val="20"/>
          <w:color w:val="auto"/>
        </w:rPr>
      </w:pPr>
      <w:r>
        <w:rPr>
          <w:rFonts w:ascii="Arial" w:cs="Arial" w:eastAsia="Arial" w:hAnsi="Arial"/>
          <w:sz w:val="14"/>
          <w:szCs w:val="14"/>
          <w:color w:val="auto"/>
        </w:rPr>
        <w:t>The total share based compensation expense recognized during the three months ended March 31, 2008 amounted to $1.3 million compared to $1.2 million during the three months ended March 31, 2007.</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Depreciation and amortization expense increased by $1.9 million, or 46.7%, from $4.2 million to $6.1 million. As a percentage of net revenue, depreciation and amortization decreased from 3.1% of net revenues for the three months ended March 31, 2007, to 3.0% for the three months ended March 31, 2008. The increase in absolute terms arises primarily from construction of the Company’s new headquarter building in Dublin, Republic of Ireland, and the ongoing investment in global infrastructure and information technology to support the Company’s current and future growth.</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Income from operations increased by $6.8 million, or 46.4%, from $14.7 million to $21.5 million. As a percentage of net revenue, income from operations decreased from 10.8% of net revenues for the three months ended March 31, 2007, to 10.7% for the three months ended March 31, 2008. The three months ended March 31, 2008, saw a continued improvement in the performance of the central laboratory business, with results improving from an operating profit of 7.3% for the three months ended March 31, 2007, to an operating profit of 7.5% for the three months ended March 31, 2008. The central laboratory constitutes approximately 8.1% of our business revenues for the three months ended March 31, 2008. Operating margins for our clinical research segment decreased to 11.0% in the three months ended March 31, 2008, from 11.2% for the three months ended March 31, 2007.</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interest expense for the three months ended March 31, 2008, was $0.04 million, a decrease of $1.1 on net interest income of $1.0 million for the three months ended March 31, 2007. The Company entered into a number of significant banking facilities in the period since March 31, 2007, to fund the acquisition of DOCS International in July 2007, ($40.6 million), the acquisition of Healthcare Discoveries in February 2008, ($11.1 million), and the construction of the Company’s new headquarter building in Dublin, Republic of Ireland.</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Our provision for income taxes increased from $3.4 million for the three months ended March 31, 2007, to $4.2 million for the three months ended March 31, 2008. ICON plc’s effective tax rate for the three months ended March 31, 2008, was 19.8% compared with 21.8% for the three months ended March 31, 2007. The effective tax rate is principally a function of the distribution of pre-tax profits in the territories in which the Group operates.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CRO industry generally is not capital intensive. Since our inception, we have financed our operations and growth primarily with cash flows from operations, net proceeds of $49.1 million raised in our initial public offering in May 1998, net proceeds of $44.3 million raised in our public offering in August 2003 and borrowings of $131.1 million used to finance the acquisitions of DOCS International and Healthcare Discoveries, and expenditure on our head office expansion. Our principal cash needs are payment of salaries, office rents, travel expenditures and payments to subcontractors. The aggregate amount of employee compensation paid in the three months ended March 31, 2008, amounted to $125.5 million, compared to $83.2 million for the three months ended March 31, 2007. Investing activities primarily reflect capital expenditures for facilities and for information systems enhancements, the sale and purchase of short-term investments and acquisitions.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99"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As of March 31, 2008, our working capital amounted to $189.8 million, compared to $193.3 million at December 31, 2007.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67 days at March 31, 2008, compared to 66 days at December 31, 2007.</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jc w:val="both"/>
        <w:spacing w:after="0" w:line="253" w:lineRule="auto"/>
        <w:rPr>
          <w:sz w:val="20"/>
          <w:szCs w:val="20"/>
          <w:color w:val="auto"/>
        </w:rPr>
      </w:pPr>
      <w:r>
        <w:rPr>
          <w:rFonts w:ascii="Arial" w:cs="Arial" w:eastAsia="Arial" w:hAnsi="Arial"/>
          <w:sz w:val="14"/>
          <w:szCs w:val="14"/>
          <w:color w:val="auto"/>
        </w:rPr>
        <w:t>Net cash used in operating activities was $12.3 million in the three months ended March 31, 2008, compared to $2.8 million in the three months ended March 31, 2007. The reduction in net cash from operating activities is primarily due to the timing of cash receipts on billed revenue.</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Net cash used in investing activities was $15.6 million in the three months ended March 31, 2008, compared to $12.5 million in the three months ended March 31, 2007. The increase in net cash used in investing activities is primarily due to the acquisition of Healthcare Discoveries in February 2008 for $11.1 million, the construction of the new head office building located in Dublin, Republic of Ireland and the ongoing investment in global infrastructure and information technology to support the Company’s current and future growth, offset by the sale of short term investments.</w:t>
      </w:r>
    </w:p>
    <w:p>
      <w:pPr>
        <w:spacing w:after="0" w:line="195"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Net cash provided by financing activities was $31.3 million in the three months ended March 31, 2008, compared to $1.9 million in the three months ended March 31, 2007. The increase in net cash provided by financing activities was due to the drawdown of available facilities to fund the acquisition of Healthcare Discoveries in February 2008, the construction of the new head office building located in Dublin, Republic of Ireland and the ongoing investment in global infrastructure and information technology to support the Company’s current and future growth.</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As a result of these cash flows, cash and cash equivalents increased by $4.3 million in the three months ended March 31, 2008, compared to a decrease of $13.4 million in the three months ended March 31, 2007.</w:t>
      </w: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On July 9, 2007, ICON plc entered into a five year committed multi-currency facility agreement for €35 million ($55.3 million) with The Governor and Company of the Bank of Ireland. The facility bears interest at an annual rate equal to the reference rate of EURIBOR plus a margin. Our obligations under the facility are secured by certain composite guarantees and indemnities and pledges in favour of the bank. On July 10, 2007, the Company drew down €29.5 million ($46.6 million) of the facility to fund the acquisition of DOCS International. On October 15, 2007, the remaining €5.5 million ($8.7 million) of the facility was drawn down to cover head office expansion in Ireland.</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October 17, 2007, an uncommitted credit facility was negotiated with Allied Irish Banks plc, for €30 million ($47.4 million). Interest is calculated at the EUR Interbank rate plus a margin. The facility is secured by the same composite guarantees and indemnities in place for the Bank of Ireland committed facility. On December 31, 2007, this facility was fully drawn. The funds were used to refinance overdraft facilities in place to fund expenditure on the head office expansion. On January 8, 2008, the facility with Allied Irish Banks plc was increased to €50 Million ($79.0 million). All terms of this facility remain the same. On March 31, 2008, €40.4 million ($63.8 million) of this facility was drawn. The facility is due to be reviewed on October 31, 2010.</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February 4, 2008, an uncommitted credit facility was negotiated with Citibank N.A, for $30 million. Interest is calculated at the London Interbank Market rate plus a margin. On March 31, 2008, $12.0 million of this facility was drawn, primarily to fund the acquisition of Healthcare Discoveries.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The average margin payable on the above mentioned facilities is 0.59 per cent.</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current available overdraft facility with Allied Irish Banks plc is €2 million ($3.2 million). The applicable interest rate when utilized is the bank’s prime rate and is repayable on demand if the Company defaults under its obligations as specified in the loan agreement. As of March 31, 2008, the facility was undrawn and available.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effects of inflation generally do not have a material adverse impact on our operations or financial conditions.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235"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color w:val="auto"/>
        </w:rPr>
        <w:t>We are not party to any litigation or other legal proceedings that we believe could reasonably be expected to have a material adverse effect on our business, results of operations and financial condition.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SIGNATURES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4"/>
                <w:szCs w:val="14"/>
                <w:b w:val="1"/>
                <w:bCs w:val="1"/>
                <w:color w:val="auto"/>
              </w:rPr>
              <w:t>ICON plc</w:t>
            </w:r>
          </w:p>
        </w:tc>
        <w:tc>
          <w:tcPr>
            <w:tcW w:w="0" w:type="dxa"/>
            <w:vAlign w:val="bottom"/>
          </w:tcPr>
          <w:p>
            <w:pPr>
              <w:spacing w:after="0"/>
              <w:rPr>
                <w:sz w:val="1"/>
                <w:szCs w:val="1"/>
                <w:color w:val="auto"/>
              </w:rPr>
            </w:pPr>
          </w:p>
        </w:tc>
      </w:tr>
      <w:tr>
        <w:trPr>
          <w:trHeight w:val="883"/>
        </w:trPr>
        <w:tc>
          <w:tcPr>
            <w:tcW w:w="3400" w:type="dxa"/>
            <w:vAlign w:val="bottom"/>
            <w:vMerge w:val="restart"/>
          </w:tcPr>
          <w:p>
            <w:pPr>
              <w:spacing w:after="0"/>
              <w:rPr>
                <w:sz w:val="20"/>
                <w:szCs w:val="20"/>
                <w:color w:val="auto"/>
              </w:rPr>
            </w:pPr>
            <w:r>
              <w:rPr>
                <w:rFonts w:ascii="Arial" w:cs="Arial" w:eastAsia="Arial" w:hAnsi="Arial"/>
                <w:sz w:val="14"/>
                <w:szCs w:val="14"/>
                <w:color w:val="auto"/>
              </w:rPr>
              <w:t>Date April 28, 2008</w:t>
            </w:r>
          </w:p>
        </w:tc>
        <w:tc>
          <w:tcPr>
            <w:tcW w:w="346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Ciaran Murray</w:t>
            </w:r>
          </w:p>
        </w:tc>
        <w:tc>
          <w:tcPr>
            <w:tcW w:w="0" w:type="dxa"/>
            <w:vAlign w:val="bottom"/>
          </w:tcPr>
          <w:p>
            <w:pPr>
              <w:spacing w:after="0"/>
              <w:rPr>
                <w:sz w:val="1"/>
                <w:szCs w:val="1"/>
                <w:color w:val="auto"/>
              </w:rPr>
            </w:pPr>
          </w:p>
        </w:tc>
      </w:tr>
      <w:tr>
        <w:trPr>
          <w:trHeight w:val="130"/>
        </w:trPr>
        <w:tc>
          <w:tcPr>
            <w:tcW w:w="3400" w:type="dxa"/>
            <w:vAlign w:val="bottom"/>
            <w:vMerge w:val="continue"/>
          </w:tcPr>
          <w:p>
            <w:pPr>
              <w:spacing w:after="0"/>
              <w:rPr>
                <w:sz w:val="11"/>
                <w:szCs w:val="11"/>
                <w:color w:val="auto"/>
              </w:rPr>
            </w:pPr>
          </w:p>
        </w:tc>
        <w:tc>
          <w:tcPr>
            <w:tcW w:w="3460" w:type="dxa"/>
            <w:vAlign w:val="bottom"/>
          </w:tcPr>
          <w:p>
            <w:pPr>
              <w:spacing w:after="0"/>
              <w:rPr>
                <w:sz w:val="11"/>
                <w:szCs w:val="11"/>
                <w:color w:val="auto"/>
              </w:rPr>
            </w:pPr>
          </w:p>
        </w:tc>
        <w:tc>
          <w:tcPr>
            <w:tcW w:w="4560" w:type="dxa"/>
            <w:vAlign w:val="bottom"/>
          </w:tcPr>
          <w:p>
            <w:pPr>
              <w:spacing w:after="0" w:line="130" w:lineRule="exact"/>
              <w:rPr>
                <w:sz w:val="20"/>
                <w:szCs w:val="20"/>
                <w:color w:val="auto"/>
              </w:rPr>
            </w:pPr>
            <w:r>
              <w:rPr>
                <w:rFonts w:ascii="Arial" w:cs="Arial" w:eastAsia="Arial" w:hAnsi="Arial"/>
                <w:sz w:val="14"/>
                <w:szCs w:val="14"/>
                <w:color w:val="auto"/>
              </w:rPr>
              <w:t>Ciaran Murray</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r>
        <w:trPr>
          <w:trHeight w:val="392"/>
        </w:trPr>
        <w:tc>
          <w:tcPr>
            <w:tcW w:w="3400" w:type="dxa"/>
            <w:vAlign w:val="bottom"/>
          </w:tcPr>
          <w:p>
            <w:pPr>
              <w:spacing w:after="0"/>
              <w:rPr>
                <w:sz w:val="24"/>
                <w:szCs w:val="24"/>
                <w:color w:val="auto"/>
              </w:rPr>
            </w:pPr>
          </w:p>
        </w:tc>
        <w:tc>
          <w:tcPr>
            <w:tcW w:w="3460" w:type="dxa"/>
            <w:vAlign w:val="bottom"/>
          </w:tcPr>
          <w:p>
            <w:pPr>
              <w:jc w:val="right"/>
              <w:ind w:right="1008"/>
              <w:spacing w:after="0"/>
              <w:rPr>
                <w:sz w:val="20"/>
                <w:szCs w:val="20"/>
                <w:color w:val="auto"/>
              </w:rPr>
            </w:pPr>
            <w:r>
              <w:rPr>
                <w:rFonts w:ascii="Arial" w:cs="Arial" w:eastAsia="Arial" w:hAnsi="Arial"/>
                <w:sz w:val="14"/>
                <w:szCs w:val="14"/>
                <w:color w:val="auto"/>
              </w:rPr>
              <w:t>19</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2019-12-14T20:31:58Z</dcterms:created>
  <dcterms:modified xsi:type="dcterms:W3CDTF">2019-12-14T20:31:58Z</dcterms:modified>
</cp:coreProperties>
</file>