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a53429465.htm"/>
      <w:bookmarkStart w:id="1" w:name="ksa53429465"/>
      <w:bookmarkStart w:id="2" w:name="a53429465.htm"/>
      <w:bookmarkStart w:id="3" w:name="ksa53429465"/>
      <w:bookmarkEnd w:id="2"/>
      <w:bookmarkEnd w:id="3"/>
    </w:p>
    <w:p>
      <w:pPr>
        <w:pStyle w:val="TextBody"/>
        <w:bidi w:val="0"/>
        <w:spacing w:before="0" w:after="0"/>
        <w:jc w:val="left"/>
        <w:rPr/>
      </w:pPr>
      <w:r>
        <w:rPr/>
      </w:r>
    </w:p>
    <w:p>
      <w:pPr>
        <w:pStyle w:val="TextBody"/>
        <w:bidi w:val="0"/>
        <w:spacing w:before="0" w:after="0"/>
        <w:jc w:val="center"/>
        <w:rPr/>
      </w:pPr>
      <w:r>
        <w:rPr/>
        <w:t> </w:t>
      </w:r>
      <w:r>
        <w:rPr>
          <w:rFonts w:ascii="Times New Roman;serif" w:hAnsi="Times New Roman;serif"/>
          <w:b/>
          <w:sz w:val="32"/>
        </w:rPr>
        <w:t>FORM 6-K</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left"/>
        <w:rPr/>
      </w:pPr>
      <w:r>
        <w:rPr/>
      </w:r>
    </w:p>
    <w:p>
      <w:pPr>
        <w:pStyle w:val="TextBody"/>
        <w:bidi w:val="0"/>
        <w:spacing w:before="0" w:after="0"/>
        <w:jc w:val="center"/>
        <w:rPr>
          <w:rFonts w:ascii="Times New Roman;serif" w:hAnsi="Times New Roman;serif"/>
        </w:rPr>
      </w:pPr>
      <w:r>
        <w:rPr>
          <w:rFonts w:ascii="Times New Roman;serif" w:hAnsi="Times New Roman;serif"/>
        </w:rPr>
        <w:t>Washington, D.C. 20549</w:t>
      </w:r>
    </w:p>
    <w:p>
      <w:pPr>
        <w:pStyle w:val="TextBody"/>
        <w:bidi w:val="0"/>
        <w:spacing w:before="0" w:after="0"/>
        <w:jc w:val="left"/>
        <w:rPr/>
      </w:pPr>
      <w:r>
        <w:rPr/>
      </w:r>
    </w:p>
    <w:p>
      <w:pPr>
        <w:pStyle w:val="TextBody"/>
        <w:bidi w:val="0"/>
        <w:spacing w:before="0" w:after="0"/>
        <w:jc w:val="center"/>
        <w:rPr>
          <w:rFonts w:ascii="Times New Roman;serif" w:hAnsi="Times New Roman;serif"/>
          <w:b/>
        </w:rPr>
      </w:pPr>
      <w:r>
        <w:rPr>
          <w:rFonts w:ascii="Times New Roman;serif" w:hAnsi="Times New Roman;serif"/>
          <w:b/>
        </w:rPr>
        <w:t>Report of Foreign Private Issuer</w:t>
      </w:r>
    </w:p>
    <w:p>
      <w:pPr>
        <w:pStyle w:val="TextBody"/>
        <w:bidi w:val="0"/>
        <w:spacing w:before="0" w:after="0"/>
        <w:jc w:val="center"/>
        <w:rPr>
          <w:rFonts w:ascii="Times New Roman;serif" w:hAnsi="Times New Roman;serif"/>
          <w:b/>
        </w:rPr>
      </w:pPr>
      <w:r>
        <w:rPr>
          <w:rFonts w:ascii="Times New Roman;serif" w:hAnsi="Times New Roman;serif"/>
          <w:b/>
        </w:rPr>
        <w:t>Pursuant to Rule 13a-16 under</w:t>
      </w:r>
    </w:p>
    <w:p>
      <w:pPr>
        <w:pStyle w:val="TextBody"/>
        <w:bidi w:val="0"/>
        <w:spacing w:before="0" w:after="0"/>
        <w:jc w:val="center"/>
        <w:rPr>
          <w:rFonts w:ascii="Times New Roman;serif" w:hAnsi="Times New Roman;serif"/>
        </w:rPr>
      </w:pPr>
      <w:r>
        <w:rPr>
          <w:rFonts w:ascii="Times New Roman;serif" w:hAnsi="Times New Roman;serif"/>
        </w:rPr>
        <w:t>t</w:t>
      </w:r>
      <w:r>
        <w:rPr>
          <w:rFonts w:ascii="Times New Roman;serif" w:hAnsi="Times New Roman;serif"/>
          <w:b/>
        </w:rPr>
        <w:t>he Securities Exchange Act of 1934</w:t>
      </w:r>
    </w:p>
    <w:p>
      <w:pPr>
        <w:pStyle w:val="TextBody"/>
        <w:bidi w:val="0"/>
        <w:spacing w:before="0" w:after="0"/>
        <w:jc w:val="left"/>
        <w:rPr/>
      </w:pPr>
      <w:r>
        <w:rPr/>
      </w:r>
    </w:p>
    <w:p>
      <w:pPr>
        <w:pStyle w:val="TextBody"/>
        <w:bidi w:val="0"/>
        <w:spacing w:before="0" w:after="0"/>
        <w:jc w:val="center"/>
        <w:rPr>
          <w:rFonts w:ascii="Times New Roman;serif" w:hAnsi="Times New Roman;serif"/>
        </w:rPr>
      </w:pPr>
      <w:r>
        <w:rPr>
          <w:rFonts w:ascii="Times New Roman;serif" w:hAnsi="Times New Roman;serif"/>
        </w:rPr>
        <w:t>For the month of June 2023</w:t>
      </w:r>
    </w:p>
    <w:p>
      <w:pPr>
        <w:pStyle w:val="TextBody"/>
        <w:bidi w:val="0"/>
        <w:spacing w:before="0" w:after="0"/>
        <w:jc w:val="left"/>
        <w:rPr/>
      </w:pPr>
      <w:r>
        <w:rPr/>
      </w:r>
    </w:p>
    <w:p>
      <w:pPr>
        <w:pStyle w:val="TextBody"/>
        <w:bidi w:val="0"/>
        <w:spacing w:before="0" w:after="0"/>
        <w:jc w:val="center"/>
        <w:rPr>
          <w:rFonts w:ascii="Times New Roman;serif" w:hAnsi="Times New Roman;serif"/>
          <w:b/>
          <w:sz w:val="32"/>
        </w:rPr>
      </w:pPr>
      <w:r>
        <w:rPr>
          <w:rFonts w:ascii="Times New Roman;serif" w:hAnsi="Times New Roman;serif"/>
          <w:b/>
          <w:sz w:val="32"/>
        </w:rPr>
        <w:t>ICON plc</w:t>
      </w:r>
    </w:p>
    <w:p>
      <w:pPr>
        <w:pStyle w:val="TextBody"/>
        <w:bidi w:val="0"/>
        <w:spacing w:before="0" w:after="0"/>
        <w:jc w:val="center"/>
        <w:rPr>
          <w:rFonts w:ascii="Times New Roman;serif" w:hAnsi="Times New Roman;serif"/>
        </w:rPr>
      </w:pPr>
      <w:r>
        <w:rPr>
          <w:rFonts w:ascii="Times New Roman;serif" w:hAnsi="Times New Roman;serif"/>
        </w:rPr>
        <w:t>(Translation of registrant's name into English)</w:t>
      </w:r>
    </w:p>
    <w:p>
      <w:pPr>
        <w:pStyle w:val="TextBody"/>
        <w:bidi w:val="0"/>
        <w:spacing w:before="0" w:after="0"/>
        <w:jc w:val="left"/>
        <w:rPr/>
      </w:pPr>
      <w:r>
        <w:rPr/>
      </w:r>
    </w:p>
    <w:p>
      <w:pPr>
        <w:pStyle w:val="TextBody"/>
        <w:bidi w:val="0"/>
        <w:spacing w:before="0" w:after="0"/>
        <w:jc w:val="center"/>
        <w:rPr>
          <w:rFonts w:ascii="Times New Roman;serif" w:hAnsi="Times New Roman;serif"/>
          <w:b/>
        </w:rPr>
      </w:pPr>
      <w:r>
        <w:rPr>
          <w:rFonts w:ascii="Times New Roman;serif" w:hAnsi="Times New Roman;serif"/>
          <w:b/>
        </w:rPr>
        <w:t>333-08704</w:t>
      </w:r>
    </w:p>
    <w:p>
      <w:pPr>
        <w:pStyle w:val="TextBody"/>
        <w:bidi w:val="0"/>
        <w:spacing w:before="0" w:after="0"/>
        <w:jc w:val="center"/>
        <w:rPr/>
      </w:pPr>
      <w:r>
        <w:rPr/>
        <w:t> </w:t>
      </w:r>
      <w:r>
        <w:rPr>
          <w:rFonts w:ascii="Times New Roman;serif" w:hAnsi="Times New Roman;serif"/>
        </w:rPr>
        <w:t>(Commission file number)</w:t>
      </w:r>
    </w:p>
    <w:p>
      <w:pPr>
        <w:pStyle w:val="TextBody"/>
        <w:bidi w:val="0"/>
        <w:spacing w:before="0" w:after="0"/>
        <w:jc w:val="left"/>
        <w:rPr/>
      </w:pPr>
      <w:r>
        <w:rPr/>
      </w:r>
    </w:p>
    <w:p>
      <w:pPr>
        <w:pStyle w:val="TextBody"/>
        <w:bidi w:val="0"/>
        <w:spacing w:before="0" w:after="0"/>
        <w:jc w:val="center"/>
        <w:rPr>
          <w:rFonts w:ascii="Times New Roman;serif" w:hAnsi="Times New Roman;serif"/>
        </w:rPr>
      </w:pPr>
      <w:r>
        <w:rPr>
          <w:rFonts w:ascii="Times New Roman;serif" w:hAnsi="Times New Roman;serif"/>
        </w:rPr>
        <w:t>South County Business Park, Leopardstown, Dublin 18, Ireland</w:t>
      </w:r>
    </w:p>
    <w:p>
      <w:pPr>
        <w:pStyle w:val="TextBody"/>
        <w:bidi w:val="0"/>
        <w:spacing w:before="0" w:after="0"/>
        <w:jc w:val="center"/>
        <w:rPr>
          <w:rFonts w:ascii="Times New Roman;serif" w:hAnsi="Times New Roman;serif"/>
        </w:rPr>
      </w:pPr>
      <w:r>
        <w:rPr>
          <w:rFonts w:ascii="Times New Roman;serif" w:hAnsi="Times New Roman;serif"/>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794a7cf0b594f4e8993e0cc2c341fb3"/>
      <w:bookmarkStart w:id="5" w:name="zd794a7cf0b594f4e8993e0cc2c341fb3"/>
      <w:bookmarkEnd w:id="5"/>
    </w:p>
    <w:tbl>
      <w:tblPr>
        <w:tblW w:w="10205" w:type="dxa"/>
        <w:jc w:val="left"/>
        <w:tblInd w:w="0" w:type="dxa"/>
        <w:tblLayout w:type="fixed"/>
        <w:tblCellMar>
          <w:top w:w="0" w:type="dxa"/>
          <w:left w:w="0" w:type="dxa"/>
          <w:bottom w:w="0" w:type="dxa"/>
          <w:right w:w="0" w:type="dxa"/>
        </w:tblCellMar>
      </w:tblPr>
      <w:tblGrid>
        <w:gridCol w:w="210"/>
        <w:gridCol w:w="5075"/>
        <w:gridCol w:w="4920"/>
      </w:tblGrid>
      <w:tr>
        <w:trPr/>
        <w:tc>
          <w:tcPr>
            <w:tcW w:w="10205" w:type="dxa"/>
            <w:gridSpan w:val="3"/>
            <w:tcBorders/>
            <w:vAlign w:val="center"/>
          </w:tcPr>
          <w:p>
            <w:pPr>
              <w:pStyle w:val="TableContents"/>
              <w:bidi w:val="0"/>
              <w:spacing w:before="0" w:after="0"/>
              <w:jc w:val="left"/>
              <w:rPr>
                <w:rFonts w:ascii="Times New Roman;serif" w:hAnsi="Times New Roman;serif"/>
              </w:rPr>
            </w:pPr>
            <w:r>
              <w:rPr>
                <w:rFonts w:ascii="Times New Roman;serif" w:hAnsi="Times New Roman;serif"/>
              </w:rPr>
              <w:t>Indicate by check mark whether the registrant files or will file annual reports under cover Form 20-F or Form 40-F.</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Form 20-F __</w:t>
            </w:r>
            <w:r>
              <w:rPr>
                <w:rFonts w:ascii="Times New Roman;serif" w:hAnsi="Times New Roman;serif"/>
                <w:b/>
              </w:rPr>
              <w:t>X</w:t>
            </w:r>
            <w:r>
              <w:rPr>
                <w:rFonts w:ascii="Times New Roman;serif" w:hAnsi="Times New Roman;serif"/>
              </w:rPr>
              <w:t>___</w:t>
            </w:r>
          </w:p>
        </w:tc>
        <w:tc>
          <w:tcPr>
            <w:tcW w:w="492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Form 40-F ______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rFonts w:ascii="Times New Roman;serif" w:hAnsi="Times New Roman;serif"/>
              </w:rPr>
            </w:pPr>
            <w:r>
              <w:rPr>
                <w:rFonts w:ascii="Times New Roman;serif" w:hAnsi="Times New Roman;serif"/>
              </w:rPr>
              <w:t>Indicate by check mark whether the registrant is submitting the Form 6-K in paper as permitted by Regulation S-T Rule 101(b)(1):</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Yes______</w:t>
            </w:r>
          </w:p>
        </w:tc>
        <w:tc>
          <w:tcPr>
            <w:tcW w:w="492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No___</w:t>
            </w:r>
            <w:r>
              <w:rPr>
                <w:rFonts w:ascii="Times New Roman;serif" w:hAnsi="Times New Roman;serif"/>
                <w:b/>
              </w:rPr>
              <w:t>X</w:t>
            </w:r>
            <w:r>
              <w:rPr>
                <w:rFonts w:ascii="Times New Roman;serif" w:hAnsi="Times New Roman;serif"/>
              </w:rPr>
              <w:t>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rFonts w:ascii="Times New Roman;serif" w:hAnsi="Times New Roman;serif"/>
              </w:rPr>
            </w:pPr>
            <w:r>
              <w:rPr>
                <w:rFonts w:ascii="Times New Roman;serif" w:hAnsi="Times New Roman;serif"/>
              </w:rPr>
              <w:t>Indicate by check mark whether the registrant is submitting the Form 6-K in paper as permitted by Regulation S-T Rule 101(b)(7):</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Yes______</w:t>
            </w:r>
          </w:p>
        </w:tc>
        <w:tc>
          <w:tcPr>
            <w:tcW w:w="492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No___</w:t>
            </w:r>
            <w:r>
              <w:rPr>
                <w:rFonts w:ascii="Times New Roman;serif" w:hAnsi="Times New Roman;serif"/>
                <w:b/>
              </w:rPr>
              <w:t>X</w:t>
            </w:r>
            <w:r>
              <w:rPr>
                <w:rFonts w:ascii="Times New Roman;serif" w:hAnsi="Times New Roman;serif"/>
              </w:rPr>
              <w:t>___</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serif" w:hAnsi="Times New Roman;serif"/>
        </w:rPr>
      </w:pPr>
      <w:r>
        <w:rPr>
          <w:rFonts w:ascii="Times New Roman;serif" w:hAnsi="Times New Roman;serif"/>
        </w:rPr>
      </w:r>
    </w:p>
    <w:p>
      <w:pPr>
        <w:pStyle w:val="TextBody"/>
        <w:bidi w:val="0"/>
        <w:spacing w:before="0" w:after="0"/>
        <w:jc w:val="center"/>
        <w:rPr>
          <w:rFonts w:ascii="Times New Roman;serif" w:hAnsi="Times New Roman;serif"/>
          <w:b/>
          <w:u w:val="single"/>
        </w:rPr>
      </w:pPr>
      <w:r>
        <w:rPr>
          <w:rFonts w:ascii="Times New Roman;serif" w:hAnsi="Times New Roman;serif"/>
          <w:b/>
          <w:u w:val="single"/>
        </w:rPr>
        <w:t>EXHIBIT LIST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 w:name="zf50db97f4cfd4b3683052e0fa3d6f4df"/>
      <w:bookmarkStart w:id="7" w:name="zf50db97f4cfd4b3683052e0fa3d6f4df"/>
      <w:bookmarkEnd w:id="7"/>
    </w:p>
    <w:tbl>
      <w:tblPr>
        <w:tblW w:w="9294" w:type="dxa"/>
        <w:jc w:val="left"/>
        <w:tblInd w:w="0" w:type="dxa"/>
        <w:tblLayout w:type="fixed"/>
        <w:tblCellMar>
          <w:top w:w="0" w:type="dxa"/>
          <w:left w:w="0" w:type="dxa"/>
          <w:bottom w:w="0" w:type="dxa"/>
          <w:right w:w="0" w:type="dxa"/>
        </w:tblCellMar>
      </w:tblPr>
      <w:tblGrid>
        <w:gridCol w:w="710"/>
        <w:gridCol w:w="8146"/>
        <w:gridCol w:w="438"/>
      </w:tblGrid>
      <w:tr>
        <w:trPr/>
        <w:tc>
          <w:tcPr>
            <w:tcW w:w="710" w:type="dxa"/>
            <w:tcBorders/>
            <w:vAlign w:val="center"/>
          </w:tcPr>
          <w:p>
            <w:pPr>
              <w:pStyle w:val="TableContents"/>
              <w:bidi w:val="0"/>
              <w:spacing w:before="0" w:after="0"/>
              <w:jc w:val="left"/>
              <w:rPr>
                <w:rFonts w:ascii="Times New Roman;serif" w:hAnsi="Times New Roman;serif"/>
                <w:u w:val="single"/>
              </w:rPr>
            </w:pPr>
            <w:r>
              <w:rPr>
                <w:rFonts w:ascii="Times New Roman;serif" w:hAnsi="Times New Roman;serif"/>
                <w:u w:val="single"/>
              </w:rPr>
              <w:t>Exhibit</w:t>
            </w:r>
          </w:p>
        </w:tc>
        <w:tc>
          <w:tcPr>
            <w:tcW w:w="8146" w:type="dxa"/>
            <w:tcBorders/>
            <w:vAlign w:val="center"/>
          </w:tcPr>
          <w:p>
            <w:pPr>
              <w:pStyle w:val="TableContents"/>
              <w:bidi w:val="0"/>
              <w:spacing w:before="0" w:after="0"/>
              <w:jc w:val="left"/>
              <w:rPr>
                <w:rFonts w:ascii="Times New Roman;serif" w:hAnsi="Times New Roman;serif"/>
                <w:u w:val="single"/>
              </w:rPr>
            </w:pPr>
            <w:r>
              <w:rPr>
                <w:rFonts w:ascii="Times New Roman;serif" w:hAnsi="Times New Roman;serif"/>
                <w:u w:val="single"/>
              </w:rPr>
              <w:t>Description</w:t>
            </w:r>
          </w:p>
        </w:tc>
        <w:tc>
          <w:tcPr>
            <w:tcW w:w="438"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0"/>
              <w:jc w:val="left"/>
              <w:rPr/>
            </w:pPr>
            <w:r>
              <w:rPr/>
              <w:t> </w:t>
            </w:r>
          </w:p>
        </w:tc>
        <w:tc>
          <w:tcPr>
            <w:tcW w:w="8146" w:type="dxa"/>
            <w:tcBorders/>
            <w:vAlign w:val="center"/>
          </w:tcPr>
          <w:p>
            <w:pPr>
              <w:pStyle w:val="TableContents"/>
              <w:bidi w:val="0"/>
              <w:spacing w:before="0" w:after="0"/>
              <w:jc w:val="left"/>
              <w:rPr/>
            </w:pPr>
            <w:r>
              <w:rPr/>
              <w:t> </w:t>
            </w:r>
          </w:p>
        </w:tc>
        <w:tc>
          <w:tcPr>
            <w:tcW w:w="438"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0"/>
              <w:jc w:val="left"/>
              <w:rPr/>
            </w:pPr>
            <w:hyperlink w:anchor="a53429465ex99_1.htm">
              <w:r>
                <w:rPr>
                  <w:rStyle w:val="InternetLink"/>
                  <w:rFonts w:ascii="Times New Roman;serif" w:hAnsi="Times New Roman;serif"/>
                </w:rPr>
                <w:t>99.1</w:t>
              </w:r>
            </w:hyperlink>
          </w:p>
        </w:tc>
        <w:tc>
          <w:tcPr>
            <w:tcW w:w="8584" w:type="dxa"/>
            <w:gridSpan w:val="2"/>
            <w:tcBorders/>
            <w:vAlign w:val="center"/>
          </w:tcPr>
          <w:p>
            <w:pPr>
              <w:pStyle w:val="TableContents"/>
              <w:bidi w:val="0"/>
              <w:spacing w:lineRule="auto" w:line="240" w:before="0" w:after="0"/>
              <w:jc w:val="left"/>
              <w:rPr/>
            </w:pPr>
            <w:hyperlink w:anchor="a53429465ex99_1.htm">
              <w:r>
                <w:rPr>
                  <w:rStyle w:val="InternetLink"/>
                  <w:rFonts w:ascii="Times New Roman;serif" w:hAnsi="Times New Roman;serif"/>
                </w:rPr>
                <w:t>ICON plc Press Release issued June 26, 2023 – ICON plc set to join Russell 3000® Index</w:t>
              </w:r>
            </w:hyperlink>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right"/>
        <w:rPr/>
      </w:pPr>
      <w:r>
        <w:rPr/>
        <w:t> </w:t>
      </w:r>
    </w:p>
    <w:p>
      <w:pPr>
        <w:pStyle w:val="TextBody"/>
        <w:bidi w:val="0"/>
        <w:spacing w:before="0" w:after="0"/>
        <w:jc w:val="center"/>
        <w:rPr>
          <w:rFonts w:ascii="Times New Roman;serif" w:hAnsi="Times New Roman;serif"/>
          <w:b/>
        </w:rPr>
      </w:pPr>
      <w:r>
        <w:rPr>
          <w:rFonts w:ascii="Times New Roman;serif" w:hAnsi="Times New Roman;serif"/>
          <w:b/>
        </w:rPr>
        <w:t>SIGNATURES</w:t>
      </w:r>
    </w:p>
    <w:p>
      <w:pPr>
        <w:pStyle w:val="TextBody"/>
        <w:bidi w:val="0"/>
        <w:spacing w:before="0" w:after="0"/>
        <w:jc w:val="left"/>
        <w:rPr/>
      </w:pPr>
      <w:r>
        <w:rPr/>
      </w:r>
    </w:p>
    <w:p>
      <w:pPr>
        <w:pStyle w:val="TextBody"/>
        <w:bidi w:val="0"/>
        <w:spacing w:before="0" w:after="0"/>
        <w:jc w:val="left"/>
        <w:rPr>
          <w:rFonts w:ascii="Times New Roman;serif" w:hAnsi="Times New Roman;serif"/>
        </w:rPr>
      </w:pPr>
      <w:r>
        <w:rPr>
          <w:rFonts w:ascii="Times New Roman;serif" w:hAnsi="Times New Roman;serif"/>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 w:name="zd282447beefa47cd9998fdfe5c9e57cb"/>
      <w:bookmarkStart w:id="9" w:name="zd282447beefa47cd9998fdfe5c9e57cb"/>
      <w:bookmarkEnd w:id="9"/>
    </w:p>
    <w:tbl>
      <w:tblPr>
        <w:tblW w:w="4135" w:type="dxa"/>
        <w:jc w:val="left"/>
        <w:tblInd w:w="0" w:type="dxa"/>
        <w:tblLayout w:type="fixed"/>
        <w:tblCellMar>
          <w:top w:w="0" w:type="dxa"/>
          <w:left w:w="0" w:type="dxa"/>
          <w:bottom w:w="0" w:type="dxa"/>
          <w:right w:w="0" w:type="dxa"/>
        </w:tblCellMar>
      </w:tblPr>
      <w:tblGrid>
        <w:gridCol w:w="1925"/>
        <w:gridCol w:w="2210"/>
      </w:tblGrid>
      <w:tr>
        <w:trPr/>
        <w:tc>
          <w:tcPr>
            <w:tcW w:w="192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rFonts w:ascii="Times New Roman;serif" w:hAnsi="Times New Roman;serif"/>
                <w:b/>
              </w:rPr>
            </w:pPr>
            <w:r>
              <w:rPr>
                <w:rFonts w:ascii="Times New Roman;serif" w:hAnsi="Times New Roman;serif"/>
                <w:b/>
              </w:rPr>
              <w:t>ICON plc</w:t>
            </w:r>
          </w:p>
        </w:tc>
      </w:tr>
      <w:tr>
        <w:trPr/>
        <w:tc>
          <w:tcPr>
            <w:tcW w:w="192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/s/ Brendan Brennan</w:t>
            </w:r>
          </w:p>
        </w:tc>
      </w:tr>
      <w:tr>
        <w:trPr/>
        <w:tc>
          <w:tcPr>
            <w:tcW w:w="1925"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Date: June 26, 2023</w:t>
            </w:r>
          </w:p>
        </w:tc>
        <w:tc>
          <w:tcPr>
            <w:tcW w:w="221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Brendan Brennan</w:t>
            </w:r>
          </w:p>
          <w:p>
            <w:pPr>
              <w:pStyle w:val="TableContents"/>
              <w:bidi w:val="0"/>
              <w:spacing w:before="0" w:after="0"/>
              <w:jc w:val="left"/>
              <w:rPr>
                <w:rFonts w:ascii="Times New Roman;serif" w:hAnsi="Times New Roman;serif"/>
              </w:rPr>
            </w:pPr>
            <w:r>
              <w:rPr>
                <w:rFonts w:ascii="Times New Roman;serif" w:hAnsi="Times New Roman;serif"/>
              </w:rPr>
              <w:t>Chief Financial Officer</w:t>
            </w:r>
          </w:p>
        </w:tc>
      </w:tr>
    </w:tbl>
    <w:p>
      <w:pPr>
        <w:pStyle w:val="TextBody"/>
        <w:bidi w:val="0"/>
        <w:spacing w:before="0" w:after="283"/>
        <w:jc w:val="left"/>
        <w:rPr/>
      </w:pPr>
      <w:r>
        <w:rPr/>
      </w:r>
    </w:p>
    <w:p>
      <w:pPr>
        <w:pStyle w:val="TextBody"/>
        <w:bidi w:val="0"/>
        <w:spacing w:before="0" w:after="0"/>
        <w:jc w:val="right"/>
        <w:rPr>
          <w:b/>
        </w:rPr>
      </w:pPr>
      <w:bookmarkStart w:id="10" w:name="a53429465ex99_1.htm"/>
      <w:bookmarkStart w:id="11" w:name="ksa53429465ex99_1"/>
      <w:bookmarkEnd w:id="10"/>
      <w:bookmarkEnd w:id="11"/>
      <w:r>
        <w:rPr>
          <w:b/>
        </w:rPr>
        <w:t>Exhibit 99.1</w:t>
      </w:r>
      <w:r>
        <w:br w:type="page"/>
      </w:r>
    </w:p>
    <w:p>
      <w:pPr>
        <w:pStyle w:val="TextBody"/>
        <w:bidi w:val="0"/>
        <w:jc w:val="left"/>
        <w:rPr>
          <w:b/>
        </w:rPr>
      </w:pPr>
      <w:r>
        <w:rPr>
          <w:b/>
        </w:rPr>
      </w:r>
    </w:p>
    <w:p>
      <w:pPr>
        <w:pStyle w:val="Heading1"/>
        <w:bidi w:val="0"/>
        <w:spacing w:lineRule="auto" w:line="240"/>
        <w:jc w:val="center"/>
        <w:rPr>
          <w:sz w:val="28"/>
        </w:rPr>
      </w:pPr>
      <w:r>
        <w:rPr>
          <w:b/>
          <w:sz w:val="28"/>
        </w:rPr>
        <w:t>ICON plc Set to Join Russell 3000® Index</w:t>
      </w:r>
      <w:r>
        <w:rPr>
          <w:sz w:val="28"/>
        </w:rPr>
        <w:t xml:space="preserve"> </w:t>
      </w:r>
    </w:p>
    <w:p>
      <w:pPr>
        <w:pStyle w:val="TextBody"/>
        <w:bidi w:val="0"/>
        <w:spacing w:lineRule="auto" w:line="240"/>
        <w:jc w:val="left"/>
        <w:rPr/>
      </w:pPr>
      <w:r>
        <w:rPr/>
        <w:t xml:space="preserve">DUBLIN--(BUSINESS WIRE)--June 26, 2023--ICON plc, (NASDAQ: ICLR), is set to join the broad-market Russell 3000® Index at the conclusion of the 2023 Russell indexes annual reconstitution, effective after the US market opens today, Monday, June 26. </w:t>
      </w:r>
    </w:p>
    <w:p>
      <w:pPr>
        <w:pStyle w:val="TextBody"/>
        <w:bidi w:val="0"/>
        <w:spacing w:lineRule="auto" w:line="240"/>
        <w:jc w:val="left"/>
        <w:rPr/>
      </w:pPr>
      <w:r>
        <w:rPr/>
        <w:t xml:space="preserve">Annual Russell indexes reconstitution captures the 4,000 largest US stocks as of April 28, ranking them by total market capitalization, including both the Russell 3000® and Russell Microcap® Indexes. </w:t>
      </w:r>
    </w:p>
    <w:p>
      <w:pPr>
        <w:pStyle w:val="TextBody"/>
        <w:bidi w:val="0"/>
        <w:spacing w:lineRule="auto" w:line="240"/>
        <w:jc w:val="left"/>
        <w:rPr/>
      </w:pPr>
      <w:r>
        <w:rPr/>
        <w:t xml:space="preserve">Membership in the US all-cap Russell 3000® Index, which remains in place for one year, means automatic inclusion in the large-cap Russell 1000® Index or small-cap Russell 2000® Index as well as the appropriate growth and value style indexes. FTSE Russell determines membership for its Russell indexes primarily by objective, market-capitalization rankings and style attributes. </w:t>
      </w:r>
    </w:p>
    <w:p>
      <w:pPr>
        <w:pStyle w:val="TextBody"/>
        <w:bidi w:val="0"/>
        <w:spacing w:before="0" w:after="283"/>
        <w:jc w:val="left"/>
        <w:rPr/>
      </w:pPr>
      <w:r>
        <w:rPr/>
        <w:t xml:space="preserve">Russell indexes are widely used by investment managers and institutional investors for index funds and as benchmarks for active investment strategies. Approximately $12.1 trillion in assets are benchmarked against Russell’s US indexes. Russell indexes are part of FTSE Russell, a leading global index provider. </w:t>
      </w:r>
    </w:p>
    <w:p>
      <w:pPr>
        <w:pStyle w:val="TextBody"/>
        <w:bidi w:val="0"/>
        <w:spacing w:lineRule="auto" w:line="240"/>
        <w:jc w:val="left"/>
        <w:rPr/>
      </w:pPr>
      <w:r>
        <w:rPr/>
        <w:t xml:space="preserve">For more information on the Russell 3000® Index and the Russell indexes reconstitution, go to the “Russell Reconstitution” section on the FTSE Russell website. </w:t>
      </w:r>
    </w:p>
    <w:p>
      <w:pPr>
        <w:pStyle w:val="TextBody"/>
        <w:bidi w:val="0"/>
        <w:spacing w:before="0" w:after="283"/>
        <w:jc w:val="left"/>
        <w:rPr/>
      </w:pPr>
      <w:r>
        <w:rPr>
          <w:b/>
        </w:rPr>
        <w:t>About ICON plc</w:t>
      </w:r>
      <w:r>
        <w:rPr/>
        <w:t xml:space="preserve"> </w:t>
      </w:r>
    </w:p>
    <w:p>
      <w:pPr>
        <w:pStyle w:val="TextBody"/>
        <w:bidi w:val="0"/>
        <w:spacing w:before="0" w:after="283"/>
        <w:jc w:val="left"/>
        <w:rPr/>
      </w:pPr>
      <w:r>
        <w:rPr/>
        <w:t xml:space="preserve">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109 locations in 53 countries as at March 31, 2023. For further information about ICON, visit: www.iconplc.com. </w:t>
      </w:r>
    </w:p>
    <w:p>
      <w:pPr>
        <w:pStyle w:val="TextBody"/>
        <w:bidi w:val="0"/>
        <w:spacing w:before="0" w:after="283"/>
        <w:jc w:val="left"/>
        <w:rPr/>
      </w:pPr>
      <w:r>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283"/>
        <w:jc w:val="left"/>
        <w:rPr/>
      </w:pPr>
      <w:r>
        <w:rPr>
          <w:b/>
        </w:rPr>
        <w:t>ICON/ICLR-G</w:t>
      </w:r>
      <w:r>
        <w:rPr/>
        <w:t xml:space="preserve"> </w:t>
      </w:r>
    </w:p>
    <w:p>
      <w:pPr>
        <w:pStyle w:val="Heading2"/>
        <w:bidi w:val="0"/>
        <w:jc w:val="left"/>
        <w:rPr>
          <w:sz w:val="28"/>
        </w:rPr>
      </w:pPr>
      <w:r>
        <w:rPr>
          <w:sz w:val="28"/>
        </w:rPr>
        <w:t>Contacts</w:t>
      </w:r>
    </w:p>
    <w:p>
      <w:pPr>
        <w:pStyle w:val="TextBody"/>
        <w:bidi w:val="0"/>
        <w:spacing w:before="0" w:after="283"/>
        <w:jc w:val="left"/>
        <w:rPr/>
      </w:pPr>
      <w:r>
        <w:rPr/>
        <w:t xml:space="preserve">Kate Haven </w:t>
        <w:br/>
        <w:t xml:space="preserve">Vice President Investor Relations </w:t>
        <w:br/>
        <w:t xml:space="preserve">+1888 381 7923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752</Words>
  <Characters>4322</Characters>
  <CharactersWithSpaces>5064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