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April, 2014</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April 30, 2014 - ICON Reports First Quarter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April 30, 2014</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First Quarter 2014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First Quarter Fiscal 2014.</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Quarter 1 net revenue increased 10% year on year to $350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was $43.0 million or 12.3%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were 57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40"/>
        <w:spacing w:after="0" w:line="256" w:lineRule="auto"/>
        <w:rPr>
          <w:sz w:val="20"/>
          <w:szCs w:val="20"/>
          <w:color w:val="auto"/>
        </w:rPr>
      </w:pPr>
      <w:r>
        <w:rPr>
          <w:rFonts w:ascii="Arial" w:cs="Arial" w:eastAsia="Arial" w:hAnsi="Arial"/>
          <w:sz w:val="22"/>
          <w:szCs w:val="22"/>
          <w:b w:val="1"/>
          <w:bCs w:val="1"/>
          <w:color w:val="auto"/>
        </w:rPr>
        <w:t>Gross Business wins were $494 million, representing a gross book to bill of 1.41, Net business wins were $427 million, representing a net book to bill of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300"/>
        <w:spacing w:after="0" w:line="256" w:lineRule="auto"/>
        <w:rPr>
          <w:sz w:val="20"/>
          <w:szCs w:val="20"/>
          <w:color w:val="auto"/>
        </w:rPr>
      </w:pPr>
      <w:r>
        <w:rPr>
          <w:rFonts w:ascii="Arial" w:cs="Arial" w:eastAsia="Arial" w:hAnsi="Arial"/>
          <w:sz w:val="22"/>
          <w:szCs w:val="22"/>
          <w:b w:val="1"/>
          <w:bCs w:val="1"/>
          <w:color w:val="auto"/>
        </w:rPr>
        <w:t>FY 2014 Guidance updated: Revenue in the range of $1,480 million - $1,540 million and EPS in the range of $2.30 -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color w:val="auto"/>
        </w:rPr>
        <w:t xml:space="preserve">DUBLIN--(BUSINESS WIRE)--April 30, 2014--ICON plc, </w:t>
      </w:r>
      <w:r>
        <w:rPr>
          <w:rFonts w:ascii="Arial" w:cs="Arial" w:eastAsia="Arial" w:hAnsi="Arial"/>
          <w:sz w:val="22"/>
          <w:szCs w:val="22"/>
          <w:b w:val="1"/>
          <w:bCs w:val="1"/>
          <w:color w:val="auto"/>
        </w:rPr>
        <w:t>(NASDAQ:ICLR),</w:t>
      </w:r>
      <w:r>
        <w:rPr>
          <w:rFonts w:ascii="Arial" w:cs="Arial" w:eastAsia="Arial" w:hAnsi="Arial"/>
          <w:sz w:val="22"/>
          <w:szCs w:val="22"/>
          <w:color w:val="auto"/>
        </w:rPr>
        <w:t xml:space="preserve"> a global provider of outsourced development services to the pharmaceutical, biotechnology and medical device industries, today reported its financial results for the first quarter ended March 31, 2014.</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For the first quarter, net revenue grew 10% year on year to $349.6 million from $316.8 million in Q1 2013.</w:t>
      </w:r>
    </w:p>
    <w:p>
      <w:pPr>
        <w:spacing w:after="0" w:line="206"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Income from operations, excluding restructuring and other items, was $43.0 million or 12.3% of revenue, compared to $27.4 million or 8.7% for the same quarter last year.</w:t>
      </w:r>
    </w:p>
    <w:p>
      <w:pPr>
        <w:spacing w:after="0" w:line="173"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Net income, excluding restructuring and other items, was $36.2 million or 57 cents per share on a diluted basis, compared with $22.2 million or 36 cents per share for the same quarter last year.</w:t>
      </w:r>
    </w:p>
    <w:p>
      <w:pPr>
        <w:spacing w:after="0" w:line="17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Guidance for the full year 2014 has been updated with revenue expected to be in the range of $1.48 billion - $1.54 billion and EPS guidance in the range of $2.30 - $2.40.</w:t>
      </w:r>
    </w:p>
    <w:p>
      <w:pPr>
        <w:spacing w:after="0" w:line="17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35 days at March 31, 2014, compared with 32 days at the end of December 2013.</w:t>
      </w:r>
    </w:p>
    <w:p>
      <w:pPr>
        <w:spacing w:after="0" w:line="17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For the quarter ended March 31, 2014, cash generated from operating activities was $38.7 million and capital expenditure was $6.2 million. The company’s net cash amounted to $364 million at March 31, 2014, compared to net cash of $321 million at December 31, 2013.</w:t>
      </w:r>
    </w:p>
    <w:p>
      <w:pPr>
        <w:spacing w:after="0" w:line="18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 xml:space="preserve">CEO Ciaran Murray commented, </w:t>
      </w:r>
      <w:r>
        <w:rPr>
          <w:rFonts w:ascii="Arial" w:cs="Arial" w:eastAsia="Arial" w:hAnsi="Arial"/>
          <w:sz w:val="19"/>
          <w:szCs w:val="19"/>
          <w:i w:val="1"/>
          <w:iCs w:val="1"/>
          <w:color w:val="auto"/>
        </w:rPr>
        <w:t>“We have made an encouraging start to 2014. Revenue for Q1 increased 10% year on year and</w:t>
      </w:r>
      <w:r>
        <w:rPr>
          <w:rFonts w:ascii="Arial" w:cs="Arial" w:eastAsia="Arial" w:hAnsi="Arial"/>
          <w:sz w:val="19"/>
          <w:szCs w:val="19"/>
          <w:color w:val="auto"/>
        </w:rPr>
        <w:t xml:space="preserve"> </w:t>
      </w:r>
      <w:r>
        <w:rPr>
          <w:rFonts w:ascii="Arial" w:cs="Arial" w:eastAsia="Arial" w:hAnsi="Arial"/>
          <w:sz w:val="19"/>
          <w:szCs w:val="19"/>
          <w:i w:val="1"/>
          <w:iCs w:val="1"/>
          <w:color w:val="auto"/>
        </w:rPr>
        <w:t>we continue to make good progress in expanding our operating margins which reached 12.3% in the quarter. The $427 million in net new business that we reported represents a book to bill of 1.22 and gives us a solid foundation upon which to build during the remainder of 2014. In addition in the quarter we have agreed to acquire Aptiv Solutions, a leader in the design and execution of adaptive and medical device trials. As a consequence of this acquisition and our continuing margin progression we are updating our full year 2014 guidance to revenue in the range of $1,480 - $1,540 and EPS in the range of $2.30 - $2.40.”</w:t>
      </w:r>
    </w:p>
    <w:p>
      <w:pPr>
        <w:spacing w:after="0" w:line="151"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20"/>
        <w:spacing w:after="0" w:line="238" w:lineRule="auto"/>
        <w:rPr>
          <w:sz w:val="20"/>
          <w:szCs w:val="20"/>
          <w:color w:val="auto"/>
        </w:rPr>
      </w:pPr>
      <w:r>
        <w:rPr>
          <w:rFonts w:ascii="Arial" w:cs="Arial" w:eastAsia="Arial" w:hAnsi="Arial"/>
          <w:sz w:val="22"/>
          <w:szCs w:val="22"/>
          <w:color w:val="auto"/>
        </w:rPr>
        <w:t xml:space="preserve">ICON will hold its first quarter conference call today, April 30, 2014 at 9:00 EST [14:00 Ireland &amp; UK]. This call and linked slide presentation can be accessed live from our website at </w:t>
      </w:r>
      <w:r>
        <w:rPr>
          <w:rFonts w:ascii="Arial" w:cs="Arial" w:eastAsia="Arial" w:hAnsi="Arial"/>
          <w:sz w:val="22"/>
          <w:szCs w:val="22"/>
          <w:u w:val="single" w:color="auto"/>
          <w:color w:val="auto"/>
        </w:rPr>
        <w:t>http://investor.iconplc.com</w:t>
      </w:r>
      <w:r>
        <w:rPr>
          <w:rFonts w:ascii="Arial" w:cs="Arial" w:eastAsia="Arial" w:hAnsi="Arial"/>
          <w:sz w:val="22"/>
          <w:szCs w:val="22"/>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76 locations in 37 countries and has approximately 10,300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462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ICON plc</w:t>
            </w: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220" w:type="dxa"/>
            <w:vAlign w:val="bottom"/>
          </w:tcPr>
          <w:p>
            <w:pPr>
              <w:spacing w:after="0"/>
              <w:rPr>
                <w:sz w:val="24"/>
                <w:szCs w:val="24"/>
                <w:color w:val="auto"/>
              </w:rPr>
            </w:pPr>
          </w:p>
        </w:tc>
        <w:tc>
          <w:tcPr>
            <w:tcW w:w="462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2"/>
              </w:rPr>
              <w:t>Consolidated Income Statements (Unaudited)</w:t>
            </w: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46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2"/>
              </w:rPr>
              <w:t>(Before restructuring and other items)</w:t>
            </w: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220" w:type="dxa"/>
            <w:vAlign w:val="bottom"/>
          </w:tcPr>
          <w:p>
            <w:pPr>
              <w:spacing w:after="0"/>
              <w:rPr>
                <w:sz w:val="24"/>
                <w:szCs w:val="24"/>
                <w:color w:val="auto"/>
              </w:rPr>
            </w:pPr>
          </w:p>
        </w:tc>
        <w:tc>
          <w:tcPr>
            <w:tcW w:w="462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4"/>
              </w:rPr>
              <w:t>Three Months ended March 31, 2014 and March 31, 2013</w:t>
            </w: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20" w:type="dxa"/>
            <w:vAlign w:val="bottom"/>
          </w:tcPr>
          <w:p>
            <w:pPr>
              <w:spacing w:after="0"/>
              <w:rPr>
                <w:sz w:val="24"/>
                <w:szCs w:val="24"/>
                <w:color w:val="auto"/>
              </w:rPr>
            </w:pPr>
          </w:p>
        </w:tc>
        <w:tc>
          <w:tcPr>
            <w:tcW w:w="46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15"/>
                <w:szCs w:val="15"/>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96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351"/>
        </w:trPr>
        <w:tc>
          <w:tcPr>
            <w:tcW w:w="3220" w:type="dxa"/>
            <w:vAlign w:val="bottom"/>
          </w:tcPr>
          <w:p>
            <w:pPr>
              <w:spacing w:after="0"/>
              <w:rPr>
                <w:sz w:val="20"/>
                <w:szCs w:val="20"/>
                <w:color w:val="auto"/>
              </w:rPr>
            </w:pPr>
            <w:r>
              <w:rPr>
                <w:rFonts w:ascii="Arial" w:cs="Arial" w:eastAsia="Arial" w:hAnsi="Arial"/>
                <w:sz w:val="14"/>
                <w:szCs w:val="14"/>
                <w:color w:val="auto"/>
              </w:rPr>
              <w:t>Gross Revenue</w:t>
            </w: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476,544</w:t>
            </w:r>
          </w:p>
        </w:tc>
        <w:tc>
          <w:tcPr>
            <w:tcW w:w="960" w:type="dxa"/>
            <w:vAlign w:val="bottom"/>
          </w:tcPr>
          <w:p>
            <w:pPr>
              <w:spacing w:after="0"/>
              <w:rPr>
                <w:sz w:val="24"/>
                <w:szCs w:val="2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419,059</w:t>
            </w:r>
          </w:p>
        </w:tc>
        <w:tc>
          <w:tcPr>
            <w:tcW w:w="0" w:type="dxa"/>
            <w:vAlign w:val="bottom"/>
          </w:tcPr>
          <w:p>
            <w:pPr>
              <w:spacing w:after="0"/>
              <w:rPr>
                <w:sz w:val="1"/>
                <w:szCs w:val="1"/>
                <w:color w:val="auto"/>
              </w:rPr>
            </w:pPr>
          </w:p>
        </w:tc>
      </w:tr>
      <w:tr>
        <w:trPr>
          <w:trHeight w:val="351"/>
        </w:trPr>
        <w:tc>
          <w:tcPr>
            <w:tcW w:w="3220" w:type="dxa"/>
            <w:vAlign w:val="bottom"/>
          </w:tcPr>
          <w:p>
            <w:pPr>
              <w:spacing w:after="0"/>
              <w:rPr>
                <w:sz w:val="20"/>
                <w:szCs w:val="20"/>
                <w:color w:val="auto"/>
              </w:rPr>
            </w:pPr>
            <w:r>
              <w:rPr>
                <w:rFonts w:ascii="Arial" w:cs="Arial" w:eastAsia="Arial" w:hAnsi="Arial"/>
                <w:sz w:val="14"/>
                <w:szCs w:val="14"/>
                <w:color w:val="auto"/>
              </w:rPr>
              <w:t>Reimbursable expenses</w:t>
            </w: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126,910</w:t>
            </w:r>
          </w:p>
        </w:tc>
        <w:tc>
          <w:tcPr>
            <w:tcW w:w="960" w:type="dxa"/>
            <w:vAlign w:val="bottom"/>
          </w:tcPr>
          <w:p>
            <w:pPr>
              <w:spacing w:after="0"/>
              <w:rPr>
                <w:sz w:val="24"/>
                <w:szCs w:val="2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102,270</w:t>
            </w:r>
          </w:p>
        </w:tc>
        <w:tc>
          <w:tcPr>
            <w:tcW w:w="0" w:type="dxa"/>
            <w:vAlign w:val="bottom"/>
          </w:tcPr>
          <w:p>
            <w:pPr>
              <w:spacing w:after="0"/>
              <w:rPr>
                <w:sz w:val="1"/>
                <w:szCs w:val="1"/>
                <w:color w:val="auto"/>
              </w:rPr>
            </w:pPr>
          </w:p>
        </w:tc>
      </w:tr>
      <w:tr>
        <w:trPr>
          <w:trHeight w:val="174"/>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38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vMerge w:val="continue"/>
          </w:tcPr>
          <w:p>
            <w:pPr>
              <w:spacing w:after="0"/>
              <w:rPr>
                <w:sz w:val="15"/>
                <w:szCs w:val="15"/>
                <w:color w:val="auto"/>
              </w:rPr>
            </w:pPr>
          </w:p>
        </w:tc>
        <w:tc>
          <w:tcPr>
            <w:tcW w:w="3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349,634</w:t>
            </w:r>
          </w:p>
        </w:tc>
        <w:tc>
          <w:tcPr>
            <w:tcW w:w="9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316,789</w:t>
            </w:r>
          </w:p>
        </w:tc>
        <w:tc>
          <w:tcPr>
            <w:tcW w:w="0" w:type="dxa"/>
            <w:vAlign w:val="bottom"/>
          </w:tcPr>
          <w:p>
            <w:pPr>
              <w:spacing w:after="0"/>
              <w:rPr>
                <w:sz w:val="1"/>
                <w:szCs w:val="1"/>
                <w:color w:val="auto"/>
              </w:rPr>
            </w:pPr>
          </w:p>
        </w:tc>
      </w:tr>
      <w:tr>
        <w:trPr>
          <w:trHeight w:val="339"/>
        </w:trPr>
        <w:tc>
          <w:tcPr>
            <w:tcW w:w="322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20"/>
                <w:szCs w:val="20"/>
                <w:color w:val="auto"/>
              </w:rPr>
            </w:pPr>
            <w:r>
              <w:rPr>
                <w:rFonts w:ascii="Arial" w:cs="Arial" w:eastAsia="Arial" w:hAnsi="Arial"/>
                <w:sz w:val="14"/>
                <w:szCs w:val="14"/>
                <w:color w:val="auto"/>
              </w:rPr>
              <w:t>Direct Costs</w:t>
            </w:r>
          </w:p>
        </w:tc>
        <w:tc>
          <w:tcPr>
            <w:tcW w:w="3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216,140</w:t>
            </w:r>
          </w:p>
        </w:tc>
        <w:tc>
          <w:tcPr>
            <w:tcW w:w="9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202,361</w:t>
            </w:r>
          </w:p>
        </w:tc>
        <w:tc>
          <w:tcPr>
            <w:tcW w:w="0" w:type="dxa"/>
            <w:vAlign w:val="bottom"/>
          </w:tcPr>
          <w:p>
            <w:pPr>
              <w:spacing w:after="0"/>
              <w:rPr>
                <w:sz w:val="1"/>
                <w:szCs w:val="1"/>
                <w:color w:val="auto"/>
              </w:rPr>
            </w:pPr>
          </w:p>
        </w:tc>
      </w:tr>
      <w:tr>
        <w:trPr>
          <w:trHeight w:val="176"/>
        </w:trPr>
        <w:tc>
          <w:tcPr>
            <w:tcW w:w="32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3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78,948</w:t>
            </w:r>
          </w:p>
        </w:tc>
        <w:tc>
          <w:tcPr>
            <w:tcW w:w="9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75,564</w:t>
            </w: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4"/>
                <w:szCs w:val="14"/>
                <w:color w:val="auto"/>
              </w:rPr>
              <w:t>Depreciation and amortisation</w:t>
            </w:r>
          </w:p>
        </w:tc>
        <w:tc>
          <w:tcPr>
            <w:tcW w:w="3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11,548</w:t>
            </w:r>
          </w:p>
        </w:tc>
        <w:tc>
          <w:tcPr>
            <w:tcW w:w="9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11,456</w:t>
            </w:r>
          </w:p>
        </w:tc>
        <w:tc>
          <w:tcPr>
            <w:tcW w:w="0" w:type="dxa"/>
            <w:vAlign w:val="bottom"/>
          </w:tcPr>
          <w:p>
            <w:pPr>
              <w:spacing w:after="0"/>
              <w:rPr>
                <w:sz w:val="1"/>
                <w:szCs w:val="1"/>
                <w:color w:val="auto"/>
              </w:rPr>
            </w:pPr>
          </w:p>
        </w:tc>
      </w:tr>
      <w:tr>
        <w:trPr>
          <w:trHeight w:val="174"/>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38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vMerge w:val="continue"/>
          </w:tcPr>
          <w:p>
            <w:pPr>
              <w:spacing w:after="0"/>
              <w:rPr>
                <w:sz w:val="15"/>
                <w:szCs w:val="15"/>
                <w:color w:val="auto"/>
              </w:rPr>
            </w:pPr>
          </w:p>
        </w:tc>
        <w:tc>
          <w:tcPr>
            <w:tcW w:w="3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306,636</w:t>
            </w:r>
          </w:p>
        </w:tc>
        <w:tc>
          <w:tcPr>
            <w:tcW w:w="9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289,381</w:t>
            </w:r>
          </w:p>
        </w:tc>
        <w:tc>
          <w:tcPr>
            <w:tcW w:w="0" w:type="dxa"/>
            <w:vAlign w:val="bottom"/>
          </w:tcPr>
          <w:p>
            <w:pPr>
              <w:spacing w:after="0"/>
              <w:rPr>
                <w:sz w:val="1"/>
                <w:szCs w:val="1"/>
                <w:color w:val="auto"/>
              </w:rPr>
            </w:pPr>
          </w:p>
        </w:tc>
      </w:tr>
      <w:tr>
        <w:trPr>
          <w:trHeight w:val="346"/>
        </w:trPr>
        <w:tc>
          <w:tcPr>
            <w:tcW w:w="322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42,998</w:t>
            </w:r>
          </w:p>
        </w:tc>
        <w:tc>
          <w:tcPr>
            <w:tcW w:w="960" w:type="dxa"/>
            <w:vAlign w:val="bottom"/>
          </w:tcPr>
          <w:p>
            <w:pPr>
              <w:spacing w:after="0"/>
              <w:rPr>
                <w:sz w:val="24"/>
                <w:szCs w:val="2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27,408</w:t>
            </w:r>
          </w:p>
        </w:tc>
        <w:tc>
          <w:tcPr>
            <w:tcW w:w="0" w:type="dxa"/>
            <w:vAlign w:val="bottom"/>
          </w:tcPr>
          <w:p>
            <w:pPr>
              <w:spacing w:after="0"/>
              <w:rPr>
                <w:sz w:val="1"/>
                <w:szCs w:val="1"/>
                <w:color w:val="auto"/>
              </w:rPr>
            </w:pPr>
          </w:p>
        </w:tc>
      </w:tr>
      <w:tr>
        <w:trPr>
          <w:trHeight w:val="351"/>
        </w:trPr>
        <w:tc>
          <w:tcPr>
            <w:tcW w:w="3220" w:type="dxa"/>
            <w:vAlign w:val="bottom"/>
          </w:tcPr>
          <w:p>
            <w:pPr>
              <w:spacing w:after="0"/>
              <w:rPr>
                <w:sz w:val="20"/>
                <w:szCs w:val="20"/>
                <w:color w:val="auto"/>
              </w:rPr>
            </w:pPr>
            <w:r>
              <w:rPr>
                <w:rFonts w:ascii="Arial" w:cs="Arial" w:eastAsia="Arial" w:hAnsi="Arial"/>
                <w:sz w:val="14"/>
                <w:szCs w:val="14"/>
                <w:color w:val="auto"/>
              </w:rPr>
              <w:t>Net interest income / (expense)</w:t>
            </w: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91</w:t>
            </w:r>
          </w:p>
        </w:tc>
        <w:tc>
          <w:tcPr>
            <w:tcW w:w="960" w:type="dxa"/>
            <w:vAlign w:val="bottom"/>
          </w:tcPr>
          <w:p>
            <w:pPr>
              <w:spacing w:after="0"/>
              <w:rPr>
                <w:sz w:val="24"/>
                <w:szCs w:val="24"/>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4"/>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38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vMerge w:val="continue"/>
          </w:tcPr>
          <w:p>
            <w:pPr>
              <w:spacing w:after="0"/>
              <w:rPr>
                <w:sz w:val="15"/>
                <w:szCs w:val="15"/>
                <w:color w:val="auto"/>
              </w:rPr>
            </w:pPr>
          </w:p>
        </w:tc>
        <w:tc>
          <w:tcPr>
            <w:tcW w:w="3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43,089</w:t>
            </w:r>
          </w:p>
        </w:tc>
        <w:tc>
          <w:tcPr>
            <w:tcW w:w="9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27,223</w:t>
            </w:r>
          </w:p>
        </w:tc>
        <w:tc>
          <w:tcPr>
            <w:tcW w:w="0" w:type="dxa"/>
            <w:vAlign w:val="bottom"/>
          </w:tcPr>
          <w:p>
            <w:pPr>
              <w:spacing w:after="0"/>
              <w:rPr>
                <w:sz w:val="1"/>
                <w:szCs w:val="1"/>
                <w:color w:val="auto"/>
              </w:rPr>
            </w:pPr>
          </w:p>
        </w:tc>
      </w:tr>
      <w:tr>
        <w:trPr>
          <w:trHeight w:val="346"/>
        </w:trPr>
        <w:tc>
          <w:tcPr>
            <w:tcW w:w="32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(6,894)</w:t>
            </w:r>
          </w:p>
        </w:tc>
        <w:tc>
          <w:tcPr>
            <w:tcW w:w="960" w:type="dxa"/>
            <w:vAlign w:val="bottom"/>
          </w:tcPr>
          <w:p>
            <w:pPr>
              <w:spacing w:after="0"/>
              <w:rPr>
                <w:sz w:val="24"/>
                <w:szCs w:val="24"/>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(5,021)</w:t>
            </w:r>
          </w:p>
        </w:tc>
        <w:tc>
          <w:tcPr>
            <w:tcW w:w="0" w:type="dxa"/>
            <w:vAlign w:val="bottom"/>
          </w:tcPr>
          <w:p>
            <w:pPr>
              <w:spacing w:after="0"/>
              <w:rPr>
                <w:sz w:val="1"/>
                <w:szCs w:val="1"/>
                <w:color w:val="auto"/>
              </w:rPr>
            </w:pPr>
          </w:p>
        </w:tc>
      </w:tr>
      <w:tr>
        <w:trPr>
          <w:trHeight w:val="174"/>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38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220" w:type="dxa"/>
            <w:vAlign w:val="bottom"/>
            <w:vMerge w:val="continue"/>
          </w:tcPr>
          <w:p>
            <w:pPr>
              <w:spacing w:after="0"/>
              <w:rPr>
                <w:sz w:val="24"/>
                <w:szCs w:val="24"/>
                <w:color w:val="auto"/>
              </w:rPr>
            </w:pPr>
          </w:p>
        </w:tc>
        <w:tc>
          <w:tcPr>
            <w:tcW w:w="38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36,195</w:t>
            </w:r>
          </w:p>
        </w:tc>
        <w:tc>
          <w:tcPr>
            <w:tcW w:w="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22,202</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3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220" w:type="dxa"/>
            <w:vAlign w:val="bottom"/>
            <w:vMerge w:val="continue"/>
          </w:tcPr>
          <w:p>
            <w:pPr>
              <w:spacing w:after="0"/>
              <w:rPr>
                <w:sz w:val="24"/>
                <w:szCs w:val="24"/>
                <w:color w:val="auto"/>
              </w:rPr>
            </w:pP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220" w:type="dxa"/>
            <w:vAlign w:val="bottom"/>
          </w:tcPr>
          <w:p>
            <w:pPr>
              <w:spacing w:after="0"/>
              <w:rPr>
                <w:sz w:val="20"/>
                <w:szCs w:val="20"/>
                <w:color w:val="auto"/>
              </w:rPr>
            </w:pPr>
            <w:r>
              <w:rPr>
                <w:rFonts w:ascii="Arial" w:cs="Arial" w:eastAsia="Arial" w:hAnsi="Arial"/>
                <w:sz w:val="14"/>
                <w:szCs w:val="14"/>
                <w:color w:val="auto"/>
              </w:rPr>
              <w:t>Basic</w:t>
            </w:r>
          </w:p>
        </w:tc>
        <w:tc>
          <w:tcPr>
            <w:tcW w:w="3820" w:type="dxa"/>
            <w:vAlign w:val="bottom"/>
          </w:tcPr>
          <w:p>
            <w:pPr>
              <w:spacing w:after="0"/>
              <w:rPr>
                <w:sz w:val="15"/>
                <w:szCs w:val="15"/>
                <w:color w:val="auto"/>
              </w:rPr>
            </w:pPr>
          </w:p>
        </w:tc>
        <w:tc>
          <w:tcPr>
            <w:tcW w:w="8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0.59</w:t>
            </w:r>
          </w:p>
        </w:tc>
        <w:tc>
          <w:tcPr>
            <w:tcW w:w="9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345"/>
        </w:trPr>
        <w:tc>
          <w:tcPr>
            <w:tcW w:w="3220" w:type="dxa"/>
            <w:vAlign w:val="bottom"/>
          </w:tcPr>
          <w:p>
            <w:pPr>
              <w:spacing w:after="0"/>
              <w:rPr>
                <w:sz w:val="20"/>
                <w:szCs w:val="20"/>
                <w:color w:val="auto"/>
              </w:rPr>
            </w:pPr>
            <w:r>
              <w:rPr>
                <w:rFonts w:ascii="Arial" w:cs="Arial" w:eastAsia="Arial" w:hAnsi="Arial"/>
                <w:sz w:val="14"/>
                <w:szCs w:val="14"/>
                <w:color w:val="auto"/>
              </w:rPr>
              <w:t>Diluted</w:t>
            </w:r>
          </w:p>
        </w:tc>
        <w:tc>
          <w:tcPr>
            <w:tcW w:w="462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0.57</w:t>
            </w:r>
          </w:p>
        </w:tc>
        <w:tc>
          <w:tcPr>
            <w:tcW w:w="96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339"/>
        </w:trPr>
        <w:tc>
          <w:tcPr>
            <w:tcW w:w="322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38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4"/>
                <w:szCs w:val="14"/>
                <w:color w:val="auto"/>
              </w:rPr>
              <w:t>Basic</w:t>
            </w:r>
          </w:p>
        </w:tc>
        <w:tc>
          <w:tcPr>
            <w:tcW w:w="3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61,776,643</w:t>
            </w:r>
          </w:p>
        </w:tc>
        <w:tc>
          <w:tcPr>
            <w:tcW w:w="9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60,404,242</w:t>
            </w:r>
          </w:p>
        </w:tc>
        <w:tc>
          <w:tcPr>
            <w:tcW w:w="0" w:type="dxa"/>
            <w:vAlign w:val="bottom"/>
          </w:tcPr>
          <w:p>
            <w:pPr>
              <w:spacing w:after="0"/>
              <w:rPr>
                <w:sz w:val="1"/>
                <w:szCs w:val="1"/>
                <w:color w:val="auto"/>
              </w:rPr>
            </w:pPr>
          </w:p>
        </w:tc>
      </w:tr>
      <w:tr>
        <w:trPr>
          <w:trHeight w:val="351"/>
        </w:trPr>
        <w:tc>
          <w:tcPr>
            <w:tcW w:w="3220" w:type="dxa"/>
            <w:vAlign w:val="bottom"/>
          </w:tcPr>
          <w:p>
            <w:pPr>
              <w:spacing w:after="0"/>
              <w:rPr>
                <w:sz w:val="20"/>
                <w:szCs w:val="20"/>
                <w:color w:val="auto"/>
              </w:rPr>
            </w:pPr>
            <w:r>
              <w:rPr>
                <w:rFonts w:ascii="Arial" w:cs="Arial" w:eastAsia="Arial" w:hAnsi="Arial"/>
                <w:sz w:val="14"/>
                <w:szCs w:val="14"/>
                <w:color w:val="auto"/>
              </w:rPr>
              <w:t>Diluted</w:t>
            </w: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63,225,797</w:t>
            </w:r>
          </w:p>
        </w:tc>
        <w:tc>
          <w:tcPr>
            <w:tcW w:w="960" w:type="dxa"/>
            <w:vAlign w:val="bottom"/>
          </w:tcPr>
          <w:p>
            <w:pPr>
              <w:spacing w:after="0"/>
              <w:rPr>
                <w:sz w:val="24"/>
                <w:szCs w:val="2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61,323,594</w:t>
            </w:r>
          </w:p>
        </w:tc>
        <w:tc>
          <w:tcPr>
            <w:tcW w:w="0" w:type="dxa"/>
            <w:vAlign w:val="bottom"/>
          </w:tcPr>
          <w:p>
            <w:pPr>
              <w:spacing w:after="0"/>
              <w:rPr>
                <w:sz w:val="1"/>
                <w:szCs w:val="1"/>
                <w:color w:val="auto"/>
              </w:rPr>
            </w:pPr>
          </w:p>
        </w:tc>
      </w:tr>
      <w:tr>
        <w:trPr>
          <w:trHeight w:val="309"/>
        </w:trPr>
        <w:tc>
          <w:tcPr>
            <w:tcW w:w="32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jc w:val="center"/>
        <w:ind w:left="3660"/>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left="3660"/>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25" w:lineRule="exact"/>
        <w:rPr>
          <w:sz w:val="20"/>
          <w:szCs w:val="20"/>
          <w:color w:val="auto"/>
        </w:rPr>
      </w:pPr>
    </w:p>
    <w:p>
      <w:pPr>
        <w:jc w:val="center"/>
        <w:ind w:left="3660"/>
        <w:spacing w:after="0"/>
        <w:rPr>
          <w:sz w:val="20"/>
          <w:szCs w:val="20"/>
          <w:color w:val="auto"/>
        </w:rPr>
      </w:pPr>
      <w:r>
        <w:rPr>
          <w:rFonts w:ascii="Arial" w:cs="Arial" w:eastAsia="Arial" w:hAnsi="Arial"/>
          <w:sz w:val="14"/>
          <w:szCs w:val="14"/>
          <w:b w:val="1"/>
          <w:bCs w:val="1"/>
          <w:color w:val="auto"/>
        </w:rPr>
        <w:t>(US GAAP)</w:t>
      </w:r>
    </w:p>
    <w:p>
      <w:pPr>
        <w:spacing w:after="0" w:line="179" w:lineRule="exact"/>
        <w:rPr>
          <w:sz w:val="20"/>
          <w:szCs w:val="20"/>
          <w:color w:val="auto"/>
        </w:rPr>
      </w:pPr>
    </w:p>
    <w:p>
      <w:pPr>
        <w:jc w:val="center"/>
        <w:ind w:left="3660"/>
        <w:spacing w:after="0"/>
        <w:rPr>
          <w:sz w:val="20"/>
          <w:szCs w:val="20"/>
          <w:color w:val="auto"/>
        </w:rPr>
      </w:pPr>
      <w:r>
        <w:rPr>
          <w:rFonts w:ascii="Arial" w:cs="Arial" w:eastAsia="Arial" w:hAnsi="Arial"/>
          <w:sz w:val="13"/>
          <w:szCs w:val="13"/>
          <w:b w:val="1"/>
          <w:bCs w:val="1"/>
          <w:color w:val="auto"/>
        </w:rPr>
        <w:t>Three Months ended March 31, 2014 and March 31, 2013</w:t>
      </w:r>
    </w:p>
    <w:p>
      <w:pPr>
        <w:spacing w:after="0" w:line="202" w:lineRule="exact"/>
        <w:rPr>
          <w:sz w:val="20"/>
          <w:szCs w:val="20"/>
          <w:color w:val="auto"/>
        </w:rPr>
      </w:pPr>
    </w:p>
    <w:p>
      <w:pPr>
        <w:jc w:val="center"/>
        <w:ind w:left="3660"/>
        <w:spacing w:after="0"/>
        <w:rPr>
          <w:sz w:val="20"/>
          <w:szCs w:val="20"/>
          <w:color w:val="auto"/>
        </w:rPr>
      </w:pPr>
      <w:r>
        <w:rPr>
          <w:rFonts w:ascii="Arial" w:cs="Arial" w:eastAsia="Arial" w:hAnsi="Arial"/>
          <w:sz w:val="13"/>
          <w:szCs w:val="13"/>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Gross Revenue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Reimbursable expenses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Revenue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and expenses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Direct costs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Selling, general and administrative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Restructuring and other items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costs and expenses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from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Net interest expense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before provision for 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Net income per ordinary share</w:t>
      </w:r>
    </w:p>
    <w:p>
      <w:pPr>
        <w:spacing w:after="0" w:line="21" w:lineRule="exact"/>
        <w:rPr>
          <w:sz w:val="20"/>
          <w:szCs w:val="20"/>
          <w:color w:val="auto"/>
        </w:rPr>
      </w:pPr>
    </w:p>
    <w:p>
      <w:pPr>
        <w:spacing w:after="0"/>
        <w:tabs>
          <w:tab w:leader="none" w:pos="716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197" w:lineRule="exact"/>
        <w:rPr>
          <w:sz w:val="20"/>
          <w:szCs w:val="20"/>
          <w:color w:val="auto"/>
        </w:rPr>
      </w:pPr>
    </w:p>
    <w:p>
      <w:pPr>
        <w:spacing w:after="0"/>
        <w:tabs>
          <w:tab w:leader="none" w:pos="716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number of ordinary shares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Basic</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8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5"/>
                <w:szCs w:val="15"/>
                <w:color w:val="auto"/>
              </w:rPr>
            </w:pPr>
          </w:p>
        </w:tc>
      </w:tr>
      <w:tr>
        <w:trPr>
          <w:trHeight w:val="176"/>
        </w:trPr>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9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r>
      <w:tr>
        <w:trPr>
          <w:trHeight w:val="351"/>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476,544</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419,059</w:t>
            </w:r>
          </w:p>
        </w:tc>
      </w:tr>
      <w:tr>
        <w:trPr>
          <w:trHeight w:val="351"/>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126,910</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102,270</w:t>
            </w:r>
          </w:p>
        </w:tc>
      </w:tr>
      <w:tr>
        <w:trPr>
          <w:trHeight w:val="365"/>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349,634</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316,789</w:t>
            </w:r>
          </w:p>
        </w:tc>
      </w:tr>
      <w:tr>
        <w:trPr>
          <w:trHeight w:val="520"/>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216,140</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202,361</w:t>
            </w:r>
          </w:p>
        </w:tc>
      </w:tr>
      <w:tr>
        <w:trPr>
          <w:trHeight w:val="176"/>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78,948</w:t>
            </w:r>
          </w:p>
        </w:tc>
        <w:tc>
          <w:tcPr>
            <w:tcW w:w="9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75,564</w:t>
            </w:r>
          </w:p>
        </w:tc>
      </w:tr>
      <w:tr>
        <w:trPr>
          <w:trHeight w:val="176"/>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11,548</w:t>
            </w:r>
          </w:p>
        </w:tc>
        <w:tc>
          <w:tcPr>
            <w:tcW w:w="9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11,456</w:t>
            </w:r>
          </w:p>
        </w:tc>
      </w:tr>
      <w:tr>
        <w:trPr>
          <w:trHeight w:val="182"/>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4,412</w:t>
            </w:r>
          </w:p>
        </w:tc>
      </w:tr>
      <w:tr>
        <w:trPr>
          <w:trHeight w:val="365"/>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306,636</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293,793</w:t>
            </w:r>
          </w:p>
        </w:tc>
      </w:tr>
      <w:tr>
        <w:trPr>
          <w:trHeight w:val="351"/>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42,998</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22,996</w:t>
            </w:r>
          </w:p>
        </w:tc>
      </w:tr>
      <w:tr>
        <w:trPr>
          <w:trHeight w:val="351"/>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91</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365"/>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43,089</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22,811</w:t>
            </w:r>
          </w:p>
        </w:tc>
      </w:tr>
      <w:tr>
        <w:trPr>
          <w:trHeight w:val="351"/>
        </w:trPr>
        <w:tc>
          <w:tcPr>
            <w:tcW w:w="920" w:type="dxa"/>
            <w:vAlign w:val="bottom"/>
          </w:tcPr>
          <w:p>
            <w:pPr>
              <w:jc w:val="right"/>
              <w:ind w:right="148"/>
              <w:spacing w:after="0"/>
              <w:rPr>
                <w:sz w:val="20"/>
                <w:szCs w:val="20"/>
                <w:color w:val="auto"/>
              </w:rPr>
            </w:pPr>
            <w:r>
              <w:rPr>
                <w:rFonts w:ascii="Arial" w:cs="Arial" w:eastAsia="Arial" w:hAnsi="Arial"/>
                <w:sz w:val="14"/>
                <w:szCs w:val="14"/>
                <w:color w:val="auto"/>
              </w:rPr>
              <w:t>(6,894)</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(3,766)</w:t>
            </w:r>
          </w:p>
        </w:tc>
      </w:tr>
      <w:tr>
        <w:trPr>
          <w:trHeight w:val="540"/>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36,195</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19,045</w:t>
            </w:r>
          </w:p>
        </w:tc>
      </w:tr>
      <w:tr>
        <w:trPr>
          <w:trHeight w:val="567"/>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0.59</w:t>
            </w:r>
          </w:p>
        </w:tc>
        <w:tc>
          <w:tcPr>
            <w:tcW w:w="96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0.32</w:t>
            </w:r>
          </w:p>
        </w:tc>
      </w:tr>
      <w:tr>
        <w:trPr>
          <w:trHeight w:val="365"/>
        </w:trPr>
        <w:tc>
          <w:tcPr>
            <w:tcW w:w="920" w:type="dxa"/>
            <w:vAlign w:val="bottom"/>
          </w:tcPr>
          <w:p>
            <w:pPr>
              <w:jc w:val="right"/>
              <w:ind w:right="208"/>
              <w:spacing w:after="0"/>
              <w:rPr>
                <w:sz w:val="20"/>
                <w:szCs w:val="20"/>
                <w:color w:val="auto"/>
              </w:rPr>
            </w:pPr>
            <w:r>
              <w:rPr>
                <w:rFonts w:ascii="Arial" w:cs="Arial" w:eastAsia="Arial" w:hAnsi="Arial"/>
                <w:sz w:val="14"/>
                <w:szCs w:val="14"/>
                <w:color w:val="auto"/>
              </w:rPr>
              <w:t>0.57</w:t>
            </w:r>
          </w:p>
        </w:tc>
        <w:tc>
          <w:tcPr>
            <w:tcW w:w="96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0.31</w:t>
            </w:r>
          </w:p>
        </w:tc>
      </w:tr>
      <w:tr>
        <w:trPr>
          <w:trHeight w:val="540"/>
        </w:trPr>
        <w:tc>
          <w:tcPr>
            <w:tcW w:w="920" w:type="dxa"/>
            <w:vAlign w:val="bottom"/>
          </w:tcPr>
          <w:p>
            <w:pPr>
              <w:jc w:val="right"/>
              <w:ind w:right="208"/>
              <w:spacing w:after="0"/>
              <w:rPr>
                <w:sz w:val="20"/>
                <w:szCs w:val="20"/>
                <w:color w:val="auto"/>
              </w:rPr>
            </w:pPr>
            <w:r>
              <w:rPr>
                <w:rFonts w:ascii="Arial" w:cs="Arial" w:eastAsia="Arial" w:hAnsi="Arial"/>
                <w:sz w:val="14"/>
                <w:szCs w:val="14"/>
                <w:color w:val="auto"/>
                <w:w w:val="88"/>
              </w:rPr>
              <w:t>61,776,643</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60,404,242</w:t>
            </w:r>
          </w:p>
        </w:tc>
      </w:tr>
      <w:tr>
        <w:trPr>
          <w:trHeight w:val="351"/>
        </w:trPr>
        <w:tc>
          <w:tcPr>
            <w:tcW w:w="920" w:type="dxa"/>
            <w:vAlign w:val="bottom"/>
          </w:tcPr>
          <w:p>
            <w:pPr>
              <w:jc w:val="right"/>
              <w:ind w:right="208"/>
              <w:spacing w:after="0"/>
              <w:rPr>
                <w:sz w:val="20"/>
                <w:szCs w:val="20"/>
                <w:color w:val="auto"/>
              </w:rPr>
            </w:pPr>
            <w:r>
              <w:rPr>
                <w:rFonts w:ascii="Arial" w:cs="Arial" w:eastAsia="Arial" w:hAnsi="Arial"/>
                <w:sz w:val="14"/>
                <w:szCs w:val="14"/>
                <w:color w:val="auto"/>
                <w:w w:val="88"/>
              </w:rPr>
              <w:t>63,225,797</w:t>
            </w:r>
          </w:p>
        </w:tc>
        <w:tc>
          <w:tcPr>
            <w:tcW w:w="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61,323,594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-3422015</wp:posOffset>
            </wp:positionV>
            <wp:extent cx="2778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-2521585</wp:posOffset>
            </wp:positionV>
            <wp:extent cx="2778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-1844040</wp:posOffset>
            </wp:positionV>
            <wp:extent cx="2778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-1389380</wp:posOffset>
            </wp:positionV>
            <wp:extent cx="2778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-1158240</wp:posOffset>
            </wp:positionV>
            <wp:extent cx="2778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-1141095</wp:posOffset>
            </wp:positionV>
            <wp:extent cx="2778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-797560</wp:posOffset>
            </wp:positionV>
            <wp:extent cx="2778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-566420</wp:posOffset>
            </wp:positionV>
            <wp:extent cx="2778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ectPr>
          <w:pgSz w:w="11900" w:h="16838" w:orient="portrait"/>
          <w:cols w:equalWidth="0" w:num="2">
            <w:col w:w="7580" w:space="720"/>
            <w:col w:w="2980"/>
          </w:cols>
          <w:pgMar w:left="240" w:top="130" w:right="37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4"/>
          <w:szCs w:val="14"/>
          <w:b w:val="1"/>
          <w:bCs w:val="1"/>
          <w:color w:val="auto"/>
        </w:rPr>
        <w:t>ICON plc</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Summary Balance Sheet Data</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March 31, 2014 and December 31, 2013</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4940" w:type="dxa"/>
            <w:vAlign w:val="bottom"/>
          </w:tcPr>
          <w:p>
            <w:pPr>
              <w:jc w:val="right"/>
              <w:ind w:right="1328"/>
              <w:spacing w:after="0"/>
              <w:rPr>
                <w:sz w:val="20"/>
                <w:szCs w:val="20"/>
                <w:color w:val="auto"/>
              </w:rPr>
            </w:pPr>
            <w:r>
              <w:rPr>
                <w:rFonts w:ascii="Arial" w:cs="Arial" w:eastAsia="Arial" w:hAnsi="Arial"/>
                <w:sz w:val="14"/>
                <w:szCs w:val="14"/>
                <w:b w:val="1"/>
                <w:bCs w:val="1"/>
                <w:color w:val="auto"/>
              </w:rPr>
              <w:t>March 31,</w:t>
            </w: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4020" w:type="dxa"/>
            <w:vAlign w:val="bottom"/>
          </w:tcPr>
          <w:p>
            <w:pPr>
              <w:spacing w:after="0"/>
              <w:rPr>
                <w:sz w:val="15"/>
                <w:szCs w:val="15"/>
                <w:color w:val="auto"/>
              </w:rPr>
            </w:pPr>
          </w:p>
        </w:tc>
        <w:tc>
          <w:tcPr>
            <w:tcW w:w="4940" w:type="dxa"/>
            <w:vAlign w:val="bottom"/>
          </w:tcPr>
          <w:p>
            <w:pPr>
              <w:jc w:val="right"/>
              <w:ind w:right="1308"/>
              <w:spacing w:after="0"/>
              <w:rPr>
                <w:sz w:val="20"/>
                <w:szCs w:val="20"/>
                <w:color w:val="auto"/>
              </w:rPr>
            </w:pPr>
            <w:r>
              <w:rPr>
                <w:rFonts w:ascii="Arial" w:cs="Arial" w:eastAsia="Arial" w:hAnsi="Arial"/>
                <w:sz w:val="14"/>
                <w:szCs w:val="14"/>
                <w:b w:val="1"/>
                <w:bCs w:val="1"/>
                <w:color w:val="auto"/>
              </w:rPr>
              <w:t>2014</w:t>
            </w: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r>
      <w:tr>
        <w:trPr>
          <w:trHeight w:val="186"/>
        </w:trPr>
        <w:tc>
          <w:tcPr>
            <w:tcW w:w="4020" w:type="dxa"/>
            <w:vAlign w:val="bottom"/>
          </w:tcPr>
          <w:p>
            <w:pPr>
              <w:spacing w:after="0"/>
              <w:rPr>
                <w:sz w:val="16"/>
                <w:szCs w:val="16"/>
                <w:color w:val="auto"/>
              </w:rPr>
            </w:pPr>
          </w:p>
        </w:tc>
        <w:tc>
          <w:tcPr>
            <w:tcW w:w="4940" w:type="dxa"/>
            <w:vAlign w:val="bottom"/>
          </w:tcPr>
          <w:p>
            <w:pPr>
              <w:jc w:val="right"/>
              <w:ind w:right="1328"/>
              <w:spacing w:after="0"/>
              <w:rPr>
                <w:sz w:val="20"/>
                <w:szCs w:val="20"/>
                <w:color w:val="auto"/>
              </w:rPr>
            </w:pPr>
            <w:r>
              <w:rPr>
                <w:rFonts w:ascii="Arial" w:cs="Arial" w:eastAsia="Arial" w:hAnsi="Arial"/>
                <w:sz w:val="14"/>
                <w:szCs w:val="14"/>
                <w:b w:val="1"/>
                <w:bCs w:val="1"/>
                <w:color w:val="auto"/>
              </w:rPr>
              <w:t>(Unaudited)</w:t>
            </w: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527"/>
        </w:trPr>
        <w:tc>
          <w:tcPr>
            <w:tcW w:w="4020" w:type="dxa"/>
            <w:vAlign w:val="bottom"/>
          </w:tcPr>
          <w:p>
            <w:pPr>
              <w:spacing w:after="0"/>
              <w:rPr>
                <w:sz w:val="20"/>
                <w:szCs w:val="20"/>
                <w:color w:val="auto"/>
              </w:rPr>
            </w:pPr>
            <w:r>
              <w:rPr>
                <w:rFonts w:ascii="Arial" w:cs="Arial" w:eastAsia="Arial" w:hAnsi="Arial"/>
                <w:sz w:val="14"/>
                <w:szCs w:val="14"/>
                <w:color w:val="auto"/>
              </w:rPr>
              <w:t>Net cash</w:t>
            </w:r>
          </w:p>
        </w:tc>
        <w:tc>
          <w:tcPr>
            <w:tcW w:w="4940" w:type="dxa"/>
            <w:vAlign w:val="bottom"/>
          </w:tcPr>
          <w:p>
            <w:pPr>
              <w:jc w:val="right"/>
              <w:ind w:right="1308"/>
              <w:spacing w:after="0"/>
              <w:rPr>
                <w:sz w:val="20"/>
                <w:szCs w:val="20"/>
                <w:color w:val="auto"/>
              </w:rPr>
            </w:pPr>
            <w:r>
              <w:rPr>
                <w:rFonts w:ascii="Arial" w:cs="Arial" w:eastAsia="Arial" w:hAnsi="Arial"/>
                <w:sz w:val="14"/>
                <w:szCs w:val="14"/>
                <w:color w:val="auto"/>
              </w:rPr>
              <w:t>363,521</w:t>
            </w:r>
          </w:p>
        </w:tc>
        <w:tc>
          <w:tcPr>
            <w:tcW w:w="2260" w:type="dxa"/>
            <w:vAlign w:val="bottom"/>
          </w:tcPr>
          <w:p>
            <w:pPr>
              <w:jc w:val="right"/>
              <w:spacing w:after="0"/>
              <w:rPr>
                <w:sz w:val="20"/>
                <w:szCs w:val="20"/>
                <w:color w:val="auto"/>
              </w:rPr>
            </w:pPr>
            <w:r>
              <w:rPr>
                <w:rFonts w:ascii="Arial" w:cs="Arial" w:eastAsia="Arial" w:hAnsi="Arial"/>
                <w:sz w:val="14"/>
                <w:szCs w:val="14"/>
                <w:color w:val="auto"/>
              </w:rPr>
              <w:t>320,836</w:t>
            </w:r>
          </w:p>
        </w:tc>
      </w:tr>
      <w:tr>
        <w:trPr>
          <w:trHeight w:val="344"/>
        </w:trPr>
        <w:tc>
          <w:tcPr>
            <w:tcW w:w="4020" w:type="dxa"/>
            <w:vAlign w:val="bottom"/>
          </w:tcPr>
          <w:p>
            <w:pPr>
              <w:spacing w:after="0"/>
              <w:rPr>
                <w:sz w:val="20"/>
                <w:szCs w:val="20"/>
                <w:color w:val="auto"/>
              </w:rPr>
            </w:pPr>
            <w:r>
              <w:rPr>
                <w:rFonts w:ascii="Arial" w:cs="Arial" w:eastAsia="Arial" w:hAnsi="Arial"/>
                <w:sz w:val="14"/>
                <w:szCs w:val="14"/>
                <w:color w:val="auto"/>
              </w:rPr>
              <w:t>Accounts receivable</w:t>
            </w:r>
          </w:p>
        </w:tc>
        <w:tc>
          <w:tcPr>
            <w:tcW w:w="4940" w:type="dxa"/>
            <w:vAlign w:val="bottom"/>
          </w:tcPr>
          <w:p>
            <w:pPr>
              <w:jc w:val="right"/>
              <w:ind w:right="1308"/>
              <w:spacing w:after="0"/>
              <w:rPr>
                <w:sz w:val="20"/>
                <w:szCs w:val="20"/>
                <w:color w:val="auto"/>
              </w:rPr>
            </w:pPr>
            <w:r>
              <w:rPr>
                <w:rFonts w:ascii="Arial" w:cs="Arial" w:eastAsia="Arial" w:hAnsi="Arial"/>
                <w:sz w:val="14"/>
                <w:szCs w:val="14"/>
                <w:color w:val="auto"/>
              </w:rPr>
              <w:t>337,600</w:t>
            </w:r>
          </w:p>
        </w:tc>
        <w:tc>
          <w:tcPr>
            <w:tcW w:w="2260" w:type="dxa"/>
            <w:vAlign w:val="bottom"/>
          </w:tcPr>
          <w:p>
            <w:pPr>
              <w:jc w:val="right"/>
              <w:spacing w:after="0"/>
              <w:rPr>
                <w:sz w:val="20"/>
                <w:szCs w:val="20"/>
                <w:color w:val="auto"/>
              </w:rPr>
            </w:pPr>
            <w:r>
              <w:rPr>
                <w:rFonts w:ascii="Arial" w:cs="Arial" w:eastAsia="Arial" w:hAnsi="Arial"/>
                <w:sz w:val="14"/>
                <w:szCs w:val="14"/>
                <w:color w:val="auto"/>
              </w:rPr>
              <w:t>342,581</w:t>
            </w:r>
          </w:p>
        </w:tc>
      </w:tr>
      <w:tr>
        <w:trPr>
          <w:trHeight w:val="176"/>
        </w:trPr>
        <w:tc>
          <w:tcPr>
            <w:tcW w:w="4020" w:type="dxa"/>
            <w:vAlign w:val="bottom"/>
          </w:tcPr>
          <w:p>
            <w:pPr>
              <w:spacing w:after="0"/>
              <w:rPr>
                <w:sz w:val="20"/>
                <w:szCs w:val="20"/>
                <w:color w:val="auto"/>
              </w:rPr>
            </w:pPr>
            <w:r>
              <w:rPr>
                <w:rFonts w:ascii="Arial" w:cs="Arial" w:eastAsia="Arial" w:hAnsi="Arial"/>
                <w:sz w:val="14"/>
                <w:szCs w:val="14"/>
                <w:color w:val="auto"/>
              </w:rPr>
              <w:t>Unbilled revenue</w:t>
            </w:r>
          </w:p>
        </w:tc>
        <w:tc>
          <w:tcPr>
            <w:tcW w:w="4940" w:type="dxa"/>
            <w:vAlign w:val="bottom"/>
          </w:tcPr>
          <w:p>
            <w:pPr>
              <w:jc w:val="right"/>
              <w:ind w:right="1308"/>
              <w:spacing w:after="0"/>
              <w:rPr>
                <w:sz w:val="20"/>
                <w:szCs w:val="20"/>
                <w:color w:val="auto"/>
              </w:rPr>
            </w:pPr>
            <w:r>
              <w:rPr>
                <w:rFonts w:ascii="Arial" w:cs="Arial" w:eastAsia="Arial" w:hAnsi="Arial"/>
                <w:sz w:val="14"/>
                <w:szCs w:val="14"/>
                <w:color w:val="auto"/>
              </w:rPr>
              <w:t>116,653</w:t>
            </w:r>
          </w:p>
        </w:tc>
        <w:tc>
          <w:tcPr>
            <w:tcW w:w="2260" w:type="dxa"/>
            <w:vAlign w:val="bottom"/>
          </w:tcPr>
          <w:p>
            <w:pPr>
              <w:jc w:val="right"/>
              <w:spacing w:after="0"/>
              <w:rPr>
                <w:sz w:val="20"/>
                <w:szCs w:val="20"/>
                <w:color w:val="auto"/>
              </w:rPr>
            </w:pPr>
            <w:r>
              <w:rPr>
                <w:rFonts w:ascii="Arial" w:cs="Arial" w:eastAsia="Arial" w:hAnsi="Arial"/>
                <w:sz w:val="14"/>
                <w:szCs w:val="14"/>
                <w:color w:val="auto"/>
              </w:rPr>
              <w:t>113,239</w:t>
            </w:r>
          </w:p>
        </w:tc>
      </w:tr>
      <w:tr>
        <w:trPr>
          <w:trHeight w:val="176"/>
        </w:trPr>
        <w:tc>
          <w:tcPr>
            <w:tcW w:w="4020" w:type="dxa"/>
            <w:vAlign w:val="bottom"/>
          </w:tcPr>
          <w:p>
            <w:pPr>
              <w:spacing w:after="0"/>
              <w:rPr>
                <w:sz w:val="20"/>
                <w:szCs w:val="20"/>
                <w:color w:val="auto"/>
              </w:rPr>
            </w:pPr>
            <w:r>
              <w:rPr>
                <w:rFonts w:ascii="Arial" w:cs="Arial" w:eastAsia="Arial" w:hAnsi="Arial"/>
                <w:sz w:val="14"/>
                <w:szCs w:val="14"/>
                <w:color w:val="auto"/>
              </w:rPr>
              <w:t>Payments on account</w:t>
            </w:r>
          </w:p>
        </w:tc>
        <w:tc>
          <w:tcPr>
            <w:tcW w:w="4940" w:type="dxa"/>
            <w:vAlign w:val="bottom"/>
          </w:tcPr>
          <w:p>
            <w:pPr>
              <w:jc w:val="right"/>
              <w:ind w:right="1268"/>
              <w:spacing w:after="0"/>
              <w:rPr>
                <w:sz w:val="20"/>
                <w:szCs w:val="20"/>
                <w:color w:val="auto"/>
              </w:rPr>
            </w:pPr>
            <w:r>
              <w:rPr>
                <w:rFonts w:ascii="Arial" w:cs="Arial" w:eastAsia="Arial" w:hAnsi="Arial"/>
                <w:sz w:val="14"/>
                <w:szCs w:val="14"/>
                <w:color w:val="auto"/>
              </w:rPr>
              <w:t>(269,771)</w:t>
            </w:r>
          </w:p>
        </w:tc>
        <w:tc>
          <w:tcPr>
            <w:tcW w:w="2260" w:type="dxa"/>
            <w:vAlign w:val="bottom"/>
          </w:tcPr>
          <w:p>
            <w:pPr>
              <w:jc w:val="right"/>
              <w:spacing w:after="0"/>
              <w:rPr>
                <w:sz w:val="20"/>
                <w:szCs w:val="20"/>
                <w:color w:val="auto"/>
              </w:rPr>
            </w:pPr>
            <w:r>
              <w:rPr>
                <w:rFonts w:ascii="Arial" w:cs="Arial" w:eastAsia="Arial" w:hAnsi="Arial"/>
                <w:sz w:val="14"/>
                <w:szCs w:val="14"/>
                <w:color w:val="auto"/>
              </w:rPr>
              <w:t>(297,347)</w:t>
            </w:r>
          </w:p>
        </w:tc>
      </w:tr>
      <w:tr>
        <w:trPr>
          <w:trHeight w:val="182"/>
        </w:trPr>
        <w:tc>
          <w:tcPr>
            <w:tcW w:w="4020" w:type="dxa"/>
            <w:vAlign w:val="bottom"/>
          </w:tcPr>
          <w:p>
            <w:pPr>
              <w:spacing w:after="0"/>
              <w:rPr>
                <w:sz w:val="20"/>
                <w:szCs w:val="20"/>
                <w:color w:val="auto"/>
              </w:rPr>
            </w:pPr>
            <w:r>
              <w:rPr>
                <w:rFonts w:ascii="Arial" w:cs="Arial" w:eastAsia="Arial" w:hAnsi="Arial"/>
                <w:sz w:val="14"/>
                <w:szCs w:val="14"/>
                <w:color w:val="auto"/>
              </w:rPr>
              <w:t>Total</w:t>
            </w:r>
          </w:p>
        </w:tc>
        <w:tc>
          <w:tcPr>
            <w:tcW w:w="4940" w:type="dxa"/>
            <w:vAlign w:val="bottom"/>
          </w:tcPr>
          <w:p>
            <w:pPr>
              <w:jc w:val="right"/>
              <w:ind w:right="1308"/>
              <w:spacing w:after="0"/>
              <w:rPr>
                <w:sz w:val="20"/>
                <w:szCs w:val="20"/>
                <w:color w:val="auto"/>
              </w:rPr>
            </w:pPr>
            <w:r>
              <w:rPr>
                <w:rFonts w:ascii="Arial" w:cs="Arial" w:eastAsia="Arial" w:hAnsi="Arial"/>
                <w:sz w:val="14"/>
                <w:szCs w:val="14"/>
                <w:color w:val="auto"/>
              </w:rPr>
              <w:t>184,482</w:t>
            </w:r>
          </w:p>
        </w:tc>
        <w:tc>
          <w:tcPr>
            <w:tcW w:w="2260" w:type="dxa"/>
            <w:vAlign w:val="bottom"/>
          </w:tcPr>
          <w:p>
            <w:pPr>
              <w:jc w:val="right"/>
              <w:spacing w:after="0"/>
              <w:rPr>
                <w:sz w:val="20"/>
                <w:szCs w:val="20"/>
                <w:color w:val="auto"/>
              </w:rPr>
            </w:pPr>
            <w:r>
              <w:rPr>
                <w:rFonts w:ascii="Arial" w:cs="Arial" w:eastAsia="Arial" w:hAnsi="Arial"/>
                <w:sz w:val="14"/>
                <w:szCs w:val="14"/>
                <w:color w:val="auto"/>
              </w:rPr>
              <w:t>158,473</w:t>
            </w:r>
          </w:p>
        </w:tc>
      </w:tr>
      <w:tr>
        <w:trPr>
          <w:trHeight w:val="351"/>
        </w:trPr>
        <w:tc>
          <w:tcPr>
            <w:tcW w:w="4020" w:type="dxa"/>
            <w:vAlign w:val="bottom"/>
          </w:tcPr>
          <w:p>
            <w:pPr>
              <w:spacing w:after="0"/>
              <w:rPr>
                <w:sz w:val="20"/>
                <w:szCs w:val="20"/>
                <w:color w:val="auto"/>
              </w:rPr>
            </w:pPr>
            <w:r>
              <w:rPr>
                <w:rFonts w:ascii="Arial" w:cs="Arial" w:eastAsia="Arial" w:hAnsi="Arial"/>
                <w:sz w:val="14"/>
                <w:szCs w:val="14"/>
                <w:color w:val="auto"/>
              </w:rPr>
              <w:t>Working Capital</w:t>
            </w:r>
          </w:p>
        </w:tc>
        <w:tc>
          <w:tcPr>
            <w:tcW w:w="4940" w:type="dxa"/>
            <w:vAlign w:val="bottom"/>
          </w:tcPr>
          <w:p>
            <w:pPr>
              <w:jc w:val="right"/>
              <w:ind w:right="1308"/>
              <w:spacing w:after="0"/>
              <w:rPr>
                <w:sz w:val="20"/>
                <w:szCs w:val="20"/>
                <w:color w:val="auto"/>
              </w:rPr>
            </w:pPr>
            <w:r>
              <w:rPr>
                <w:rFonts w:ascii="Arial" w:cs="Arial" w:eastAsia="Arial" w:hAnsi="Arial"/>
                <w:sz w:val="14"/>
                <w:szCs w:val="14"/>
                <w:color w:val="auto"/>
              </w:rPr>
              <w:t>405,923</w:t>
            </w:r>
          </w:p>
        </w:tc>
        <w:tc>
          <w:tcPr>
            <w:tcW w:w="2260" w:type="dxa"/>
            <w:vAlign w:val="bottom"/>
          </w:tcPr>
          <w:p>
            <w:pPr>
              <w:jc w:val="right"/>
              <w:spacing w:after="0"/>
              <w:rPr>
                <w:sz w:val="20"/>
                <w:szCs w:val="20"/>
                <w:color w:val="auto"/>
              </w:rPr>
            </w:pPr>
            <w:r>
              <w:rPr>
                <w:rFonts w:ascii="Arial" w:cs="Arial" w:eastAsia="Arial" w:hAnsi="Arial"/>
                <w:sz w:val="14"/>
                <w:szCs w:val="14"/>
                <w:color w:val="auto"/>
              </w:rPr>
              <w:t>352,259</w:t>
            </w:r>
          </w:p>
        </w:tc>
      </w:tr>
      <w:tr>
        <w:trPr>
          <w:trHeight w:val="351"/>
        </w:trPr>
        <w:tc>
          <w:tcPr>
            <w:tcW w:w="4020" w:type="dxa"/>
            <w:vAlign w:val="bottom"/>
          </w:tcPr>
          <w:p>
            <w:pPr>
              <w:spacing w:after="0"/>
              <w:rPr>
                <w:sz w:val="20"/>
                <w:szCs w:val="20"/>
                <w:color w:val="auto"/>
              </w:rPr>
            </w:pPr>
            <w:r>
              <w:rPr>
                <w:rFonts w:ascii="Arial" w:cs="Arial" w:eastAsia="Arial" w:hAnsi="Arial"/>
                <w:sz w:val="14"/>
                <w:szCs w:val="14"/>
                <w:color w:val="auto"/>
              </w:rPr>
              <w:t>Total Assets</w:t>
            </w:r>
          </w:p>
        </w:tc>
        <w:tc>
          <w:tcPr>
            <w:tcW w:w="4940" w:type="dxa"/>
            <w:vAlign w:val="bottom"/>
          </w:tcPr>
          <w:p>
            <w:pPr>
              <w:jc w:val="right"/>
              <w:ind w:right="1308"/>
              <w:spacing w:after="0"/>
              <w:rPr>
                <w:sz w:val="20"/>
                <w:szCs w:val="20"/>
                <w:color w:val="auto"/>
              </w:rPr>
            </w:pPr>
            <w:r>
              <w:rPr>
                <w:rFonts w:ascii="Arial" w:cs="Arial" w:eastAsia="Arial" w:hAnsi="Arial"/>
                <w:sz w:val="14"/>
                <w:szCs w:val="14"/>
                <w:color w:val="auto"/>
              </w:rPr>
              <w:t>1,484,541</w:t>
            </w:r>
          </w:p>
        </w:tc>
        <w:tc>
          <w:tcPr>
            <w:tcW w:w="2260" w:type="dxa"/>
            <w:vAlign w:val="bottom"/>
          </w:tcPr>
          <w:p>
            <w:pPr>
              <w:jc w:val="right"/>
              <w:spacing w:after="0"/>
              <w:rPr>
                <w:sz w:val="20"/>
                <w:szCs w:val="20"/>
                <w:color w:val="auto"/>
              </w:rPr>
            </w:pPr>
            <w:r>
              <w:rPr>
                <w:rFonts w:ascii="Arial" w:cs="Arial" w:eastAsia="Arial" w:hAnsi="Arial"/>
                <w:sz w:val="14"/>
                <w:szCs w:val="14"/>
                <w:color w:val="auto"/>
              </w:rPr>
              <w:t>1,442,460</w:t>
            </w:r>
          </w:p>
        </w:tc>
      </w:tr>
      <w:tr>
        <w:trPr>
          <w:trHeight w:val="351"/>
        </w:trPr>
        <w:tc>
          <w:tcPr>
            <w:tcW w:w="4020" w:type="dxa"/>
            <w:vAlign w:val="bottom"/>
          </w:tcPr>
          <w:p>
            <w:pPr>
              <w:spacing w:after="0"/>
              <w:rPr>
                <w:sz w:val="20"/>
                <w:szCs w:val="20"/>
                <w:color w:val="auto"/>
              </w:rPr>
            </w:pPr>
            <w:r>
              <w:rPr>
                <w:rFonts w:ascii="Arial" w:cs="Arial" w:eastAsia="Arial" w:hAnsi="Arial"/>
                <w:sz w:val="14"/>
                <w:szCs w:val="14"/>
                <w:color w:val="auto"/>
              </w:rPr>
              <w:t>Shareholder's Equity</w:t>
            </w:r>
          </w:p>
        </w:tc>
        <w:tc>
          <w:tcPr>
            <w:tcW w:w="4940" w:type="dxa"/>
            <w:vAlign w:val="bottom"/>
          </w:tcPr>
          <w:p>
            <w:pPr>
              <w:jc w:val="right"/>
              <w:ind w:right="1308"/>
              <w:spacing w:after="0"/>
              <w:rPr>
                <w:sz w:val="20"/>
                <w:szCs w:val="20"/>
                <w:color w:val="auto"/>
              </w:rPr>
            </w:pPr>
            <w:r>
              <w:rPr>
                <w:rFonts w:ascii="Arial" w:cs="Arial" w:eastAsia="Arial" w:hAnsi="Arial"/>
                <w:sz w:val="14"/>
                <w:szCs w:val="14"/>
                <w:color w:val="auto"/>
              </w:rPr>
              <w:t>960,785</w:t>
            </w:r>
          </w:p>
        </w:tc>
        <w:tc>
          <w:tcPr>
            <w:tcW w:w="2260" w:type="dxa"/>
            <w:vAlign w:val="bottom"/>
          </w:tcPr>
          <w:p>
            <w:pPr>
              <w:jc w:val="right"/>
              <w:spacing w:after="0"/>
              <w:rPr>
                <w:sz w:val="20"/>
                <w:szCs w:val="20"/>
                <w:color w:val="auto"/>
              </w:rPr>
            </w:pPr>
            <w:r>
              <w:rPr>
                <w:rFonts w:ascii="Arial" w:cs="Arial" w:eastAsia="Arial" w:hAnsi="Arial"/>
                <w:sz w:val="14"/>
                <w:szCs w:val="14"/>
                <w:color w:val="auto"/>
              </w:rPr>
              <w:t>910,579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+353-1-291-2000</w:t>
      </w:r>
    </w:p>
    <w:p>
      <w:pPr>
        <w:spacing w:after="0" w:line="230" w:lineRule="auto"/>
        <w:rPr>
          <w:sz w:val="20"/>
          <w:szCs w:val="20"/>
          <w:color w:val="auto"/>
        </w:rPr>
      </w:pPr>
      <w:r>
        <w:rPr>
          <w:rFonts w:ascii="Arial" w:cs="Arial" w:eastAsia="Arial" w:hAnsi="Arial"/>
          <w:sz w:val="22"/>
          <w:szCs w:val="22"/>
          <w:color w:val="auto"/>
        </w:rPr>
        <w:t>CFO</w:t>
      </w:r>
    </w:p>
    <w:p>
      <w:pPr>
        <w:spacing w:after="0" w:line="231" w:lineRule="auto"/>
        <w:rPr>
          <w:sz w:val="20"/>
          <w:szCs w:val="20"/>
          <w:color w:val="auto"/>
        </w:rPr>
      </w:pPr>
      <w:r>
        <w:rPr>
          <w:rFonts w:ascii="Arial" w:cs="Arial" w:eastAsia="Arial" w:hAnsi="Arial"/>
          <w:sz w:val="22"/>
          <w:szCs w:val="22"/>
          <w:color w:val="auto"/>
        </w:rPr>
        <w:t>Simon Holmes, +3531-291-2000</w:t>
      </w:r>
    </w:p>
    <w:p>
      <w:pPr>
        <w:spacing w:after="0" w:line="231" w:lineRule="auto"/>
        <w:rPr>
          <w:sz w:val="20"/>
          <w:szCs w:val="20"/>
          <w:color w:val="auto"/>
        </w:rPr>
      </w:pPr>
      <w:r>
        <w:rPr>
          <w:rFonts w:ascii="Arial" w:cs="Arial" w:eastAsia="Arial" w:hAnsi="Arial"/>
          <w:sz w:val="22"/>
          <w:szCs w:val="22"/>
          <w:color w:val="auto"/>
        </w:rPr>
        <w:t>EVP IR &amp; Corporate Development</w:t>
      </w: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1220"/>
      </w:cols>
      <w:pgMar w:left="240" w:top="13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2019-12-06T19:37:32Z</dcterms:created>
  <dcterms:modified xsi:type="dcterms:W3CDTF">2019-12-06T19:37:32Z</dcterms:modified>
</cp:coreProperties>
</file>